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583E6411"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1A45AA">
        <w:rPr>
          <w:rFonts w:ascii="HelveticaNeue-Thin" w:hAnsi="HelveticaNeue-Thin" w:cs="HelveticaNeue-Thin"/>
          <w:color w:val="010202"/>
          <w:sz w:val="28"/>
          <w:szCs w:val="28"/>
        </w:rPr>
        <w:t>3</w:t>
      </w:r>
      <w:r w:rsidR="00995C8C">
        <w:rPr>
          <w:rFonts w:ascii="HelveticaNeue-Thin" w:hAnsi="HelveticaNeue-Thin" w:cs="HelveticaNeue-Thin"/>
          <w:color w:val="010202"/>
          <w:sz w:val="28"/>
          <w:szCs w:val="28"/>
        </w:rPr>
        <w:t>2 1</w:t>
      </w:r>
      <w:r w:rsidR="00EA3D20">
        <w:rPr>
          <w:rFonts w:ascii="HelveticaNeue-Thin" w:hAnsi="HelveticaNeue-Thin" w:cs="HelveticaNeue-Thin"/>
          <w:color w:val="010202"/>
          <w:sz w:val="28"/>
          <w:szCs w:val="28"/>
        </w:rPr>
        <w:t>4</w:t>
      </w:r>
      <w:r w:rsidR="003C1F46">
        <w:rPr>
          <w:rFonts w:ascii="HelveticaNeue-Thin" w:hAnsi="HelveticaNeue-Thin" w:cs="HelveticaNeue-Thin"/>
          <w:color w:val="010202"/>
          <w:sz w:val="28"/>
          <w:szCs w:val="28"/>
        </w:rPr>
        <w:t xml:space="preserve"> to </w:t>
      </w:r>
      <w:r w:rsidR="00EA3D20">
        <w:rPr>
          <w:rFonts w:ascii="HelveticaNeue-Thin" w:hAnsi="HelveticaNeue-Thin" w:cs="HelveticaNeue-Thin"/>
          <w:color w:val="010202"/>
          <w:sz w:val="28"/>
          <w:szCs w:val="28"/>
        </w:rPr>
        <w:t>18</w:t>
      </w:r>
      <w:r w:rsidR="003C1F46">
        <w:rPr>
          <w:rFonts w:ascii="HelveticaNeue-Thin" w:hAnsi="HelveticaNeue-Thin" w:cs="HelveticaNeue-Thin"/>
          <w:color w:val="010202"/>
          <w:sz w:val="28"/>
          <w:szCs w:val="28"/>
        </w:rPr>
        <w:t xml:space="preserve"> </w:t>
      </w:r>
      <w:r w:rsidR="000619DE">
        <w:rPr>
          <w:rFonts w:ascii="HelveticaNeue-Thin" w:hAnsi="HelveticaNeue-Thin" w:cs="HelveticaNeue-Thin"/>
          <w:color w:val="010202"/>
          <w:sz w:val="28"/>
          <w:szCs w:val="28"/>
        </w:rPr>
        <w:t>October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EA3D20">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25E16D36"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1A346C">
              <w:rPr>
                <w:b/>
              </w:rPr>
              <w:t>6.2.</w:t>
            </w:r>
            <w:r w:rsidR="00995C8C">
              <w:rPr>
                <w:b/>
              </w:rPr>
              <w:t>2</w:t>
            </w:r>
          </w:p>
        </w:tc>
        <w:tc>
          <w:tcPr>
            <w:tcW w:w="13467" w:type="dxa"/>
          </w:tcPr>
          <w:p w14:paraId="0A55E0BC" w14:textId="77E3E3F7" w:rsidR="00075FF4" w:rsidRPr="000754B4" w:rsidRDefault="00AD3ED7" w:rsidP="000754B4">
            <w:pPr>
              <w:spacing w:after="0"/>
              <w:rPr>
                <w:b/>
                <w:bCs/>
                <w:color w:val="C00000"/>
              </w:rPr>
            </w:pPr>
            <w:r w:rsidRPr="00AD3ED7">
              <w:rPr>
                <w:rFonts w:cs="Calibri"/>
                <w:b/>
                <w:bCs/>
                <w:color w:val="221E1F"/>
              </w:rPr>
              <w:t>Access and Participation</w:t>
            </w:r>
            <w:r w:rsidR="006071EE" w:rsidRPr="006071EE">
              <w:rPr>
                <w:rFonts w:cs="Calibri"/>
                <w:b/>
                <w:bCs/>
                <w:color w:val="221E1F"/>
              </w:rPr>
              <w:br/>
            </w:r>
            <w:r w:rsidR="000754B4" w:rsidRPr="000754B4">
              <w:rPr>
                <w:rFonts w:cs="Calibri"/>
              </w:rPr>
              <w:t>Effective partnerships support children’s access, inclusion and participation in the program.</w:t>
            </w:r>
            <w:r w:rsidR="000754B4" w:rsidRPr="00FF205E">
              <w:rPr>
                <w:b/>
                <w:bCs/>
                <w:color w:val="C00000"/>
              </w:rPr>
              <w:t xml:space="preserve"> </w:t>
            </w:r>
          </w:p>
        </w:tc>
      </w:tr>
      <w:tr w:rsidR="00533F98" w:rsidRPr="005025C5" w14:paraId="38D4BBA2" w14:textId="77777777">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FFFFFF"/>
          </w:tcPr>
          <w:p w14:paraId="0C683363" w14:textId="7616FFD5" w:rsidR="00375163" w:rsidRDefault="00AB2C41" w:rsidP="00CA6F8C">
            <w:pPr>
              <w:shd w:val="clear" w:color="auto" w:fill="FFFFFF"/>
              <w:spacing w:after="0"/>
              <w:rPr>
                <w:i/>
              </w:rPr>
            </w:pPr>
            <w:r w:rsidRPr="00D606FF">
              <w:rPr>
                <w:b/>
                <w:bCs/>
                <w:lang w:val="en-US"/>
              </w:rPr>
              <w:t>MEETING</w:t>
            </w:r>
            <w:r w:rsidR="000C1591">
              <w:rPr>
                <w:b/>
                <w:bCs/>
                <w:lang w:val="en-US"/>
              </w:rPr>
              <w:t xml:space="preserve"> - </w:t>
            </w:r>
            <w:r w:rsidR="00175DA0" w:rsidRPr="008576A7">
              <w:rPr>
                <w:i/>
              </w:rPr>
              <w:t>A child in our program came from a family undergoing separation, which affected their behaviour and engagement. To support their inclusion, we created a calm, predictable routine to offer stability, provided extra emotional support, and worked closely with the family. We adjusted activities to ensure the child could participate comfortably and communicated frequently with the family to ensure consistency between home and the centre, promoting the child's sense of belonging.</w:t>
            </w:r>
          </w:p>
          <w:p w14:paraId="2B2548DE" w14:textId="77777777" w:rsidR="00CA6F8C" w:rsidRDefault="00CA6F8C" w:rsidP="00CA6F8C">
            <w:pPr>
              <w:shd w:val="clear" w:color="auto" w:fill="FFFFFF"/>
              <w:spacing w:after="0"/>
              <w:rPr>
                <w:i/>
              </w:rPr>
            </w:pPr>
          </w:p>
          <w:p w14:paraId="65B2B63D" w14:textId="77777777" w:rsidR="00CA6F8C" w:rsidRDefault="00CA6F8C" w:rsidP="00CA6F8C">
            <w:pPr>
              <w:rPr>
                <w:i/>
              </w:rPr>
            </w:pPr>
            <w:r w:rsidRPr="008576A7">
              <w:rPr>
                <w:i/>
              </w:rPr>
              <w:t>A child with a keen interest in construction and hands-on learning often disengaged in structured group activities. Using this knowledge, we integrated more building-based activities and STEM projects into the program, allowing the child to participate actively. We adapted tasks to suit their kinaesthetic learning style, creating opportunities for them to lead peer activities, fostering confidence, and supporting their inclusion and participation in the program.</w:t>
            </w:r>
          </w:p>
          <w:p w14:paraId="1DE8324F" w14:textId="16FCB877" w:rsidR="00203B12" w:rsidRDefault="00196EBD" w:rsidP="00CA6F8C">
            <w:r w:rsidRPr="008576A7">
              <w:rPr>
                <w:i/>
              </w:rPr>
              <w:t>We recently adapted the environment for a child with Sensory Processing Disorder (SPD). After consulting with an occupational therapist, we introduced sensory-friendly materials and a quiet space to help the child regulate during transitions. We also adjusted group activities to allow more choice and flexibility, ensuring the child could fully participate without becoming</w:t>
            </w:r>
            <w:r w:rsidR="00253F24">
              <w:rPr>
                <w:i/>
              </w:rPr>
              <w:t xml:space="preserve"> </w:t>
            </w:r>
            <w:r w:rsidR="00253F24" w:rsidRPr="008576A7">
              <w:rPr>
                <w:i/>
              </w:rPr>
              <w:t>overwhelmed. These changes supported the child’s inclusion and improved overall engagement.</w:t>
            </w:r>
          </w:p>
          <w:p w14:paraId="6E3E438F" w14:textId="77777777" w:rsidR="00CA6F8C" w:rsidRPr="00CA6F8C" w:rsidRDefault="00CA6F8C" w:rsidP="00CA6F8C">
            <w:pPr>
              <w:shd w:val="clear" w:color="auto" w:fill="FFFFFF"/>
              <w:spacing w:after="0"/>
              <w:rPr>
                <w:i/>
              </w:rPr>
            </w:pPr>
          </w:p>
          <w:p w14:paraId="1C1B04EE" w14:textId="54FB7C1A" w:rsidR="00AB2C41" w:rsidRPr="00AB2C41" w:rsidRDefault="00AB2C41" w:rsidP="00C70935">
            <w:pPr>
              <w:spacing w:after="0" w:line="240" w:lineRule="auto"/>
              <w:rPr>
                <w:b/>
                <w:bCs/>
              </w:rPr>
            </w:pPr>
            <w:r w:rsidRPr="00AB2C41">
              <w:rPr>
                <w:b/>
                <w:bCs/>
              </w:rPr>
              <w:t>EXCEEDING</w:t>
            </w:r>
          </w:p>
          <w:p w14:paraId="6CBFB81D" w14:textId="77777777" w:rsidR="00121FE1" w:rsidRDefault="00AB2C41">
            <w:pPr>
              <w:shd w:val="clear" w:color="auto" w:fill="FFFFFF"/>
              <w:spacing w:after="0"/>
              <w:rPr>
                <w:i/>
              </w:rPr>
            </w:pPr>
            <w:r w:rsidRPr="00AB2C41">
              <w:rPr>
                <w:b/>
                <w:bCs/>
              </w:rPr>
              <w:t>Embedded practice -</w:t>
            </w:r>
            <w:r>
              <w:t xml:space="preserve"> </w:t>
            </w:r>
            <w:r w:rsidR="00121FE1" w:rsidRPr="008576A7">
              <w:rPr>
                <w:i/>
              </w:rPr>
              <w:t>Our team consistently partners with local community groups, including a refugee support agency, to enhance children's participation. We have regular meetings and phone catch-ups, and the agency helps us adjust the program for children from diverse backgrounds. This ongoing collaboration ensures cultural sensitivity and offers tailored support for children and families, promoting inclusion and participation across our service.</w:t>
            </w:r>
          </w:p>
          <w:p w14:paraId="36BDAD3D" w14:textId="77777777" w:rsidR="00121FE1" w:rsidRDefault="00121FE1">
            <w:pPr>
              <w:shd w:val="clear" w:color="auto" w:fill="FFFFFF"/>
              <w:spacing w:after="0"/>
              <w:rPr>
                <w:b/>
                <w:bCs/>
                <w:iCs/>
              </w:rPr>
            </w:pPr>
          </w:p>
          <w:p w14:paraId="3686408F" w14:textId="7972E4A4" w:rsidR="00344F31" w:rsidRDefault="00AB2C41">
            <w:pPr>
              <w:shd w:val="clear" w:color="auto" w:fill="FFFFFF"/>
              <w:spacing w:after="0"/>
              <w:rPr>
                <w:i/>
              </w:rPr>
            </w:pPr>
            <w:r w:rsidRPr="00D606FF">
              <w:rPr>
                <w:b/>
                <w:bCs/>
                <w:iCs/>
              </w:rPr>
              <w:t>Critical Reflection -</w:t>
            </w:r>
            <w:r>
              <w:rPr>
                <w:i/>
              </w:rPr>
              <w:t xml:space="preserve"> </w:t>
            </w:r>
            <w:r w:rsidR="00A2721C" w:rsidRPr="008576A7">
              <w:rPr>
                <w:i/>
              </w:rPr>
              <w:t>We recently partnered with a local Indigenous cultural group to enhance children’s learning and well-being. This partnership provides cultural learning opportunities, supporting children’s sense of belonging. We also incorporated a quiet space for children needing downtime and used the children’s strengths and interests to shape their participation in new activities, ensuring their overall inclusion and engagement.</w:t>
            </w:r>
          </w:p>
          <w:p w14:paraId="44385CFB" w14:textId="77777777" w:rsidR="00A2721C" w:rsidRPr="00731EBA" w:rsidRDefault="00A2721C">
            <w:pPr>
              <w:shd w:val="clear" w:color="auto" w:fill="FFFFFF"/>
              <w:spacing w:after="0"/>
            </w:pPr>
          </w:p>
          <w:p w14:paraId="3DD1D925" w14:textId="0E1C0AE3" w:rsidR="00B21BFD" w:rsidRDefault="00AB2C41" w:rsidP="006C6894">
            <w:pPr>
              <w:shd w:val="clear" w:color="auto" w:fill="FFFFFF"/>
              <w:rPr>
                <w:color w:val="000000"/>
              </w:rPr>
            </w:pPr>
            <w:r w:rsidRPr="00D606FF">
              <w:rPr>
                <w:b/>
                <w:bCs/>
                <w:iCs/>
              </w:rPr>
              <w:t xml:space="preserve">Families and community </w:t>
            </w:r>
            <w:r w:rsidR="00707D4C">
              <w:rPr>
                <w:b/>
                <w:bCs/>
                <w:iCs/>
              </w:rPr>
              <w:t>–</w:t>
            </w:r>
            <w:r w:rsidR="006949BC">
              <w:rPr>
                <w:b/>
                <w:bCs/>
                <w:iCs/>
              </w:rPr>
              <w:t xml:space="preserve"> </w:t>
            </w:r>
            <w:r w:rsidR="00B21BFD" w:rsidRPr="008576A7">
              <w:rPr>
                <w:color w:val="000000"/>
              </w:rPr>
              <w:t xml:space="preserve">Our partnership with a nearby community health service has fostered a culture of inclusion and belonging. The service provides regular health check-ups and well-being sessions for children and families, addressing equity issues and supporting all children, especially those from diverse backgrounds. This partnership enables us to offer more resources and </w:t>
            </w:r>
            <w:r w:rsidR="00EA3D20" w:rsidRPr="008576A7">
              <w:rPr>
                <w:color w:val="000000"/>
              </w:rPr>
              <w:t xml:space="preserve">connections to support every child's development and </w:t>
            </w:r>
            <w:r w:rsidR="00EA3D20" w:rsidRPr="008576A7">
              <w:rPr>
                <w:color w:val="000000"/>
              </w:rPr>
              <w:lastRenderedPageBreak/>
              <w:t>inclusion.</w:t>
            </w:r>
          </w:p>
          <w:p w14:paraId="74714799" w14:textId="6B15C921" w:rsidR="00E57A01" w:rsidRPr="00D606FF" w:rsidRDefault="00D606FF" w:rsidP="006C6894">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98186A" w:rsidRPr="005025C5" w14:paraId="71245204" w14:textId="77777777" w:rsidTr="001C210D">
        <w:trPr>
          <w:trHeight w:val="572"/>
        </w:trPr>
        <w:tc>
          <w:tcPr>
            <w:tcW w:w="1917" w:type="dxa"/>
            <w:shd w:val="clear" w:color="auto" w:fill="DAEEF3"/>
          </w:tcPr>
          <w:p w14:paraId="2AB39F68" w14:textId="58497AE1" w:rsidR="0098186A" w:rsidRPr="000160DF" w:rsidRDefault="0098186A" w:rsidP="0098186A">
            <w:pPr>
              <w:pStyle w:val="NoSpacing"/>
              <w:rPr>
                <w:b/>
              </w:rPr>
            </w:pPr>
            <w:r>
              <w:rPr>
                <w:b/>
              </w:rPr>
              <w:t>Element 6.2.2</w:t>
            </w:r>
          </w:p>
        </w:tc>
        <w:tc>
          <w:tcPr>
            <w:tcW w:w="13393" w:type="dxa"/>
            <w:shd w:val="clear" w:color="auto" w:fill="FFFFFF"/>
          </w:tcPr>
          <w:p w14:paraId="47F7311F" w14:textId="7B61F5EB" w:rsidR="0098186A" w:rsidRPr="00D67E81" w:rsidRDefault="0098186A" w:rsidP="0098186A">
            <w:pPr>
              <w:spacing w:after="0" w:line="240" w:lineRule="auto"/>
            </w:pPr>
            <w:r w:rsidRPr="00AD3ED7">
              <w:rPr>
                <w:rFonts w:cs="Calibri"/>
                <w:b/>
                <w:bCs/>
                <w:color w:val="221E1F"/>
              </w:rPr>
              <w:t>Access and Participation</w:t>
            </w:r>
            <w:r w:rsidRPr="006071EE">
              <w:rPr>
                <w:rFonts w:cs="Calibri"/>
                <w:b/>
                <w:bCs/>
                <w:color w:val="221E1F"/>
              </w:rPr>
              <w:br/>
            </w:r>
            <w:r w:rsidRPr="000754B4">
              <w:rPr>
                <w:rFonts w:cs="Calibri"/>
              </w:rPr>
              <w:t>Effective partnerships support children’s access, inclusion and participation in the program.</w:t>
            </w:r>
            <w:r w:rsidRPr="00FF205E">
              <w:rPr>
                <w:b/>
                <w:bCs/>
                <w:color w:val="C00000"/>
              </w:rPr>
              <w:t xml:space="preserve"> </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F4E2C">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368288E8" w:rsidR="00075FF4" w:rsidRPr="0098186A" w:rsidRDefault="003C1F46" w:rsidP="00075FF4">
            <w:pPr>
              <w:pStyle w:val="NormalWeb"/>
              <w:spacing w:before="0" w:beforeAutospacing="0" w:after="0" w:afterAutospacing="0"/>
              <w:rPr>
                <w:sz w:val="19"/>
                <w:szCs w:val="19"/>
                <w:lang w:eastAsia="en-AU"/>
              </w:rPr>
            </w:pPr>
            <w:r w:rsidRPr="0098186A">
              <w:rPr>
                <w:rFonts w:ascii="Calibri" w:hAnsi="Calibri" w:cs="Calibri"/>
                <w:color w:val="000000"/>
                <w:sz w:val="19"/>
                <w:szCs w:val="19"/>
              </w:rPr>
              <w:t>6.2.</w:t>
            </w:r>
            <w:r w:rsidR="0098186A" w:rsidRPr="0098186A">
              <w:rPr>
                <w:rFonts w:ascii="Calibri" w:hAnsi="Calibri" w:cs="Calibri"/>
                <w:color w:val="000000"/>
                <w:sz w:val="19"/>
                <w:szCs w:val="19"/>
              </w:rPr>
              <w:t>2</w:t>
            </w:r>
          </w:p>
          <w:p w14:paraId="0717B254" w14:textId="7705F8C0" w:rsidR="00075FF4" w:rsidRPr="0098186A" w:rsidRDefault="00075FF4" w:rsidP="00075FF4">
            <w:pPr>
              <w:pStyle w:val="NormalWeb"/>
              <w:spacing w:before="0" w:beforeAutospacing="0" w:after="0" w:afterAutospacing="0"/>
              <w:rPr>
                <w:sz w:val="19"/>
                <w:szCs w:val="19"/>
              </w:rPr>
            </w:pPr>
            <w:r w:rsidRPr="0098186A">
              <w:rPr>
                <w:rFonts w:ascii="Calibri" w:hAnsi="Calibri" w:cs="Calibri"/>
                <w:color w:val="000000"/>
                <w:sz w:val="19"/>
                <w:szCs w:val="19"/>
              </w:rPr>
              <w:t>Week</w:t>
            </w:r>
            <w:r w:rsidR="00333320" w:rsidRPr="0098186A">
              <w:rPr>
                <w:rFonts w:ascii="Calibri" w:hAnsi="Calibri" w:cs="Calibri"/>
                <w:color w:val="000000"/>
                <w:sz w:val="19"/>
                <w:szCs w:val="19"/>
              </w:rPr>
              <w:t xml:space="preserve"> </w:t>
            </w:r>
            <w:r w:rsidR="006C6894" w:rsidRPr="0098186A">
              <w:rPr>
                <w:rFonts w:ascii="Calibri" w:hAnsi="Calibri" w:cs="Calibri"/>
                <w:color w:val="000000"/>
                <w:sz w:val="19"/>
                <w:szCs w:val="19"/>
              </w:rPr>
              <w:t>3</w:t>
            </w:r>
            <w:r w:rsidR="0098186A" w:rsidRPr="0098186A">
              <w:rPr>
                <w:rFonts w:ascii="Calibri" w:hAnsi="Calibri" w:cs="Calibri"/>
                <w:color w:val="000000"/>
                <w:sz w:val="19"/>
                <w:szCs w:val="19"/>
              </w:rPr>
              <w:t>2</w:t>
            </w:r>
          </w:p>
          <w:p w14:paraId="3320FC3C" w14:textId="73D27C47" w:rsidR="00075FF4" w:rsidRPr="00740FED" w:rsidRDefault="00075FF4" w:rsidP="00075FF4">
            <w:pPr>
              <w:pStyle w:val="NoSpacing"/>
              <w:rPr>
                <w:sz w:val="18"/>
                <w:szCs w:val="18"/>
              </w:rPr>
            </w:pPr>
          </w:p>
        </w:tc>
        <w:tc>
          <w:tcPr>
            <w:tcW w:w="1403" w:type="dxa"/>
          </w:tcPr>
          <w:p w14:paraId="13795AB9" w14:textId="5C4A2EA0" w:rsidR="00075FF4" w:rsidRPr="0057302A" w:rsidRDefault="009A0B03" w:rsidP="00466395">
            <w:pPr>
              <w:spacing w:after="0" w:line="240" w:lineRule="auto"/>
              <w:rPr>
                <w:rStyle w:val="textexposedshow"/>
                <w:rFonts w:cs="Calibri"/>
                <w:color w:val="1D2129"/>
                <w:sz w:val="20"/>
                <w:szCs w:val="20"/>
              </w:rPr>
            </w:pPr>
            <w:r w:rsidRPr="009A0B03">
              <w:rPr>
                <w:rStyle w:val="textexposedshow"/>
                <w:rFonts w:cs="Calibri"/>
                <w:color w:val="1D2129"/>
                <w:sz w:val="20"/>
                <w:szCs w:val="20"/>
              </w:rPr>
              <w:t>Limited collaboration with external organi</w:t>
            </w:r>
            <w:r>
              <w:rPr>
                <w:rStyle w:val="textexposedshow"/>
                <w:rFonts w:cs="Calibri"/>
                <w:color w:val="1D2129"/>
                <w:sz w:val="20"/>
                <w:szCs w:val="20"/>
              </w:rPr>
              <w:t>s</w:t>
            </w:r>
            <w:r w:rsidRPr="009A0B03">
              <w:rPr>
                <w:rStyle w:val="textexposedshow"/>
                <w:rFonts w:cs="Calibri"/>
                <w:color w:val="1D2129"/>
                <w:sz w:val="20"/>
                <w:szCs w:val="20"/>
              </w:rPr>
              <w:t>ations and families to enhance children's access and inclusion.</w:t>
            </w:r>
          </w:p>
        </w:tc>
        <w:tc>
          <w:tcPr>
            <w:tcW w:w="2268" w:type="dxa"/>
          </w:tcPr>
          <w:p w14:paraId="319A2547" w14:textId="367798B3" w:rsidR="00A93BCD" w:rsidRPr="00A93BCD" w:rsidRDefault="0061038B" w:rsidP="00154B17">
            <w:pPr>
              <w:rPr>
                <w:rFonts w:cs="Calibri"/>
                <w:sz w:val="20"/>
                <w:szCs w:val="20"/>
              </w:rPr>
            </w:pPr>
            <w:r w:rsidRPr="0061038B">
              <w:rPr>
                <w:rFonts w:cs="Calibri"/>
                <w:sz w:val="20"/>
                <w:szCs w:val="20"/>
              </w:rPr>
              <w:t>We aim to improve children's access, inclusion, and active participation in the program through effective partnerships.</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56A11EDD" w14:textId="7AD6C6BC" w:rsidR="00075FF4" w:rsidRPr="00154B17" w:rsidRDefault="0061038B" w:rsidP="0061038B">
            <w:pPr>
              <w:pStyle w:val="NormalWeb"/>
              <w:spacing w:after="0"/>
              <w:rPr>
                <w:rStyle w:val="textexposedshow"/>
                <w:rFonts w:ascii="Calibri" w:hAnsi="Calibri" w:cs="Calibri"/>
                <w:color w:val="1D2129"/>
                <w:sz w:val="20"/>
                <w:szCs w:val="20"/>
              </w:rPr>
            </w:pPr>
            <w:r w:rsidRPr="0061038B">
              <w:rPr>
                <w:rStyle w:val="textexposedshow"/>
                <w:rFonts w:ascii="Calibri" w:hAnsi="Calibri" w:cs="Calibri"/>
                <w:color w:val="1D2129"/>
                <w:sz w:val="20"/>
                <w:szCs w:val="20"/>
              </w:rPr>
              <w:t>Identify key community partners and resources.</w:t>
            </w:r>
            <w:r>
              <w:rPr>
                <w:rStyle w:val="textexposedshow"/>
                <w:rFonts w:ascii="Calibri" w:hAnsi="Calibri" w:cs="Calibri"/>
                <w:color w:val="1D2129"/>
                <w:sz w:val="20"/>
                <w:szCs w:val="20"/>
              </w:rPr>
              <w:br/>
            </w:r>
            <w:r w:rsidRPr="0061038B">
              <w:rPr>
                <w:rStyle w:val="textexposedshow"/>
                <w:rFonts w:ascii="Calibri" w:hAnsi="Calibri" w:cs="Calibri"/>
                <w:color w:val="1D2129"/>
                <w:sz w:val="20"/>
                <w:szCs w:val="20"/>
              </w:rPr>
              <w:t>Collaborate with families to understand children's needs and strengths.</w:t>
            </w:r>
            <w:r>
              <w:rPr>
                <w:rStyle w:val="textexposedshow"/>
                <w:rFonts w:ascii="Calibri" w:hAnsi="Calibri" w:cs="Calibri"/>
                <w:color w:val="1D2129"/>
                <w:sz w:val="20"/>
                <w:szCs w:val="20"/>
              </w:rPr>
              <w:br/>
            </w:r>
            <w:r w:rsidRPr="0061038B">
              <w:rPr>
                <w:rStyle w:val="textexposedshow"/>
                <w:rFonts w:ascii="Calibri" w:hAnsi="Calibri" w:cs="Calibri"/>
                <w:color w:val="1D2129"/>
                <w:sz w:val="20"/>
                <w:szCs w:val="20"/>
              </w:rPr>
              <w:t>Develop a plan for inclusive activities and adaptations.</w:t>
            </w:r>
            <w:r>
              <w:rPr>
                <w:rStyle w:val="textexposedshow"/>
                <w:rFonts w:ascii="Calibri" w:hAnsi="Calibri" w:cs="Calibri"/>
                <w:color w:val="1D2129"/>
                <w:sz w:val="20"/>
                <w:szCs w:val="20"/>
              </w:rPr>
              <w:br/>
            </w:r>
            <w:r w:rsidRPr="0061038B">
              <w:rPr>
                <w:rStyle w:val="textexposedshow"/>
                <w:rFonts w:ascii="Calibri" w:hAnsi="Calibri" w:cs="Calibri"/>
                <w:color w:val="1D2129"/>
                <w:sz w:val="20"/>
                <w:szCs w:val="20"/>
              </w:rPr>
              <w:t>Establish partnerships with local organizations to provide support.</w:t>
            </w:r>
            <w:r>
              <w:rPr>
                <w:rStyle w:val="textexposedshow"/>
                <w:rFonts w:ascii="Calibri" w:hAnsi="Calibri" w:cs="Calibri"/>
                <w:color w:val="1D2129"/>
                <w:sz w:val="20"/>
                <w:szCs w:val="20"/>
              </w:rPr>
              <w:br/>
            </w:r>
            <w:r w:rsidRPr="0061038B">
              <w:rPr>
                <w:rStyle w:val="textexposedshow"/>
                <w:rFonts w:ascii="Calibri" w:hAnsi="Calibri" w:cs="Calibri"/>
                <w:color w:val="1D2129"/>
                <w:sz w:val="20"/>
                <w:szCs w:val="20"/>
              </w:rPr>
              <w:t>Regularly evaluate and adjust our approach based on feedback and results.</w:t>
            </w:r>
          </w:p>
        </w:tc>
        <w:tc>
          <w:tcPr>
            <w:tcW w:w="3402" w:type="dxa"/>
          </w:tcPr>
          <w:p w14:paraId="297E2E9A" w14:textId="15397A89" w:rsidR="00075FF4" w:rsidRPr="00105653" w:rsidRDefault="0061038B" w:rsidP="000A7978">
            <w:pPr>
              <w:spacing w:after="0"/>
            </w:pPr>
            <w:r w:rsidRPr="0061038B">
              <w:t>Increased engagement, participation, and satisfaction among children and families. Positive feedback and improved inclusion metrics.</w:t>
            </w: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BF4E2C">
        <w:tc>
          <w:tcPr>
            <w:tcW w:w="973" w:type="dxa"/>
          </w:tcPr>
          <w:p w14:paraId="7FE73DB3" w14:textId="77777777" w:rsidR="0098186A" w:rsidRPr="0098186A" w:rsidRDefault="0098186A" w:rsidP="0098186A">
            <w:pPr>
              <w:pStyle w:val="NormalWeb"/>
              <w:spacing w:before="0" w:beforeAutospacing="0" w:after="0" w:afterAutospacing="0"/>
              <w:rPr>
                <w:sz w:val="19"/>
                <w:szCs w:val="19"/>
                <w:lang w:eastAsia="en-AU"/>
              </w:rPr>
            </w:pPr>
            <w:r w:rsidRPr="0098186A">
              <w:rPr>
                <w:rFonts w:ascii="Calibri" w:hAnsi="Calibri" w:cs="Calibri"/>
                <w:color w:val="000000"/>
                <w:sz w:val="19"/>
                <w:szCs w:val="19"/>
              </w:rPr>
              <w:t>6.2.2</w:t>
            </w:r>
          </w:p>
          <w:p w14:paraId="6536F0EA" w14:textId="77777777" w:rsidR="0098186A" w:rsidRPr="0098186A" w:rsidRDefault="0098186A" w:rsidP="0098186A">
            <w:pPr>
              <w:pStyle w:val="NormalWeb"/>
              <w:spacing w:before="0" w:beforeAutospacing="0" w:after="0" w:afterAutospacing="0"/>
              <w:rPr>
                <w:sz w:val="19"/>
                <w:szCs w:val="19"/>
              </w:rPr>
            </w:pPr>
            <w:r w:rsidRPr="0098186A">
              <w:rPr>
                <w:rFonts w:ascii="Calibri" w:hAnsi="Calibri" w:cs="Calibri"/>
                <w:color w:val="000000"/>
                <w:sz w:val="19"/>
                <w:szCs w:val="19"/>
              </w:rPr>
              <w:t>Week 32</w:t>
            </w:r>
          </w:p>
          <w:p w14:paraId="5D0BA762" w14:textId="6CF695B1" w:rsidR="00075FF4" w:rsidRDefault="006071EE" w:rsidP="0098186A">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2F25448E" w:rsidR="00075FF4" w:rsidRPr="00213962" w:rsidRDefault="001717EB" w:rsidP="00075FF4">
            <w:pPr>
              <w:spacing w:after="240"/>
              <w:rPr>
                <w:rStyle w:val="textexposedshow"/>
                <w:rFonts w:cs="Calibri"/>
                <w:color w:val="1D2129"/>
                <w:sz w:val="21"/>
                <w:szCs w:val="21"/>
              </w:rPr>
            </w:pPr>
            <w:r w:rsidRPr="001717EB">
              <w:rPr>
                <w:rStyle w:val="textexposedshow"/>
                <w:rFonts w:cs="Calibri"/>
                <w:color w:val="1D2129"/>
                <w:sz w:val="21"/>
                <w:szCs w:val="21"/>
              </w:rPr>
              <w:t xml:space="preserve">Educators consistently maintain ongoing collaborative community partnerships and link with community support </w:t>
            </w:r>
            <w:r w:rsidRPr="001717EB">
              <w:rPr>
                <w:rStyle w:val="textexposedshow"/>
                <w:rFonts w:cs="Calibri"/>
                <w:color w:val="1D2129"/>
                <w:sz w:val="21"/>
                <w:szCs w:val="21"/>
              </w:rPr>
              <w:lastRenderedPageBreak/>
              <w:t>agencies to enhance children’s access, inclusion, and participation in the program.</w:t>
            </w:r>
          </w:p>
        </w:tc>
        <w:tc>
          <w:tcPr>
            <w:tcW w:w="2268" w:type="dxa"/>
          </w:tcPr>
          <w:p w14:paraId="5B8B847E" w14:textId="3508BEC6" w:rsidR="00075FF4" w:rsidRPr="00213962" w:rsidRDefault="001717EB" w:rsidP="00075FF4">
            <w:pPr>
              <w:spacing w:after="240"/>
              <w:rPr>
                <w:rStyle w:val="textexposedshow"/>
                <w:rFonts w:cs="Calibri"/>
                <w:iCs/>
                <w:color w:val="1D2129"/>
                <w:sz w:val="20"/>
                <w:szCs w:val="20"/>
              </w:rPr>
            </w:pPr>
            <w:r w:rsidRPr="001717EB">
              <w:rPr>
                <w:rStyle w:val="textexposedshow"/>
                <w:rFonts w:cs="Calibri"/>
                <w:iCs/>
                <w:color w:val="1D2129"/>
                <w:sz w:val="20"/>
                <w:szCs w:val="20"/>
              </w:rPr>
              <w:lastRenderedPageBreak/>
              <w:t>We aim to establish and maintain strong partnerships with the community and support agencies to enhance children's access, inclusion, and participation.</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1FA65292" w14:textId="77777777" w:rsidR="00081F51" w:rsidRPr="00081F51" w:rsidRDefault="00081F51" w:rsidP="00081F51">
            <w:pPr>
              <w:spacing w:after="0"/>
              <w:rPr>
                <w:rStyle w:val="textexposedshow"/>
                <w:rFonts w:cs="Calibri"/>
                <w:color w:val="1D2129"/>
                <w:sz w:val="20"/>
                <w:szCs w:val="20"/>
              </w:rPr>
            </w:pPr>
            <w:r w:rsidRPr="00081F51">
              <w:rPr>
                <w:rStyle w:val="textexposedshow"/>
                <w:rFonts w:cs="Calibri"/>
                <w:color w:val="1D2129"/>
                <w:sz w:val="20"/>
                <w:szCs w:val="20"/>
              </w:rPr>
              <w:t>Identify potential community partners and support agencies.</w:t>
            </w:r>
          </w:p>
          <w:p w14:paraId="4ABA64F5" w14:textId="77777777" w:rsidR="00081F51" w:rsidRPr="00081F51" w:rsidRDefault="00081F51" w:rsidP="00081F51">
            <w:pPr>
              <w:spacing w:after="0"/>
              <w:rPr>
                <w:rStyle w:val="textexposedshow"/>
                <w:rFonts w:cs="Calibri"/>
                <w:color w:val="1D2129"/>
                <w:sz w:val="20"/>
                <w:szCs w:val="20"/>
              </w:rPr>
            </w:pPr>
            <w:r w:rsidRPr="00081F51">
              <w:rPr>
                <w:rStyle w:val="textexposedshow"/>
                <w:rFonts w:cs="Calibri"/>
                <w:color w:val="1D2129"/>
                <w:sz w:val="20"/>
                <w:szCs w:val="20"/>
              </w:rPr>
              <w:t>Reach out and establish partnerships through communication and collaboration.</w:t>
            </w:r>
          </w:p>
          <w:p w14:paraId="6BBFF480" w14:textId="77777777" w:rsidR="00081F51" w:rsidRPr="00081F51" w:rsidRDefault="00081F51" w:rsidP="00081F51">
            <w:pPr>
              <w:spacing w:after="0"/>
              <w:rPr>
                <w:rStyle w:val="textexposedshow"/>
                <w:rFonts w:cs="Calibri"/>
                <w:color w:val="1D2129"/>
                <w:sz w:val="20"/>
                <w:szCs w:val="20"/>
              </w:rPr>
            </w:pPr>
            <w:r w:rsidRPr="00081F51">
              <w:rPr>
                <w:rStyle w:val="textexposedshow"/>
                <w:rFonts w:cs="Calibri"/>
                <w:color w:val="1D2129"/>
                <w:sz w:val="20"/>
                <w:szCs w:val="20"/>
              </w:rPr>
              <w:lastRenderedPageBreak/>
              <w:t>Plan and implement joint activities and programs with these partners.</w:t>
            </w:r>
          </w:p>
          <w:p w14:paraId="3E13C91D" w14:textId="77777777" w:rsidR="00081F51" w:rsidRPr="00081F51" w:rsidRDefault="00081F51" w:rsidP="00081F51">
            <w:pPr>
              <w:spacing w:after="0"/>
              <w:rPr>
                <w:rStyle w:val="textexposedshow"/>
                <w:rFonts w:cs="Calibri"/>
                <w:color w:val="1D2129"/>
                <w:sz w:val="20"/>
                <w:szCs w:val="20"/>
              </w:rPr>
            </w:pPr>
            <w:r w:rsidRPr="00081F51">
              <w:rPr>
                <w:rStyle w:val="textexposedshow"/>
                <w:rFonts w:cs="Calibri"/>
                <w:color w:val="1D2129"/>
                <w:sz w:val="20"/>
                <w:szCs w:val="20"/>
              </w:rPr>
              <w:t>Regularly assess the impact of these partnerships on children's access, inclusion, and participation.</w:t>
            </w:r>
          </w:p>
          <w:p w14:paraId="4E8664EA" w14:textId="181725B2" w:rsidR="009B4161" w:rsidRPr="00D04580" w:rsidRDefault="00081F51" w:rsidP="00081F51">
            <w:pPr>
              <w:spacing w:after="0"/>
              <w:rPr>
                <w:rStyle w:val="textexposedshow"/>
                <w:rFonts w:cs="Calibri"/>
                <w:color w:val="1D2129"/>
                <w:sz w:val="20"/>
                <w:szCs w:val="20"/>
              </w:rPr>
            </w:pPr>
            <w:r w:rsidRPr="00081F51">
              <w:rPr>
                <w:rStyle w:val="textexposedshow"/>
                <w:rFonts w:cs="Calibri"/>
                <w:color w:val="1D2129"/>
                <w:sz w:val="20"/>
                <w:szCs w:val="20"/>
              </w:rPr>
              <w:t>Adapt and improve our collaborative efforts based on feedback and results.</w:t>
            </w:r>
          </w:p>
        </w:tc>
        <w:tc>
          <w:tcPr>
            <w:tcW w:w="3402" w:type="dxa"/>
          </w:tcPr>
          <w:p w14:paraId="7C4592E4" w14:textId="77777777" w:rsidR="00B359EF" w:rsidRDefault="00B359EF" w:rsidP="00B359EF">
            <w:pPr>
              <w:rPr>
                <w:i/>
                <w:color w:val="FF0000"/>
              </w:rPr>
            </w:pPr>
            <w:r>
              <w:rPr>
                <w:i/>
              </w:rPr>
              <w:lastRenderedPageBreak/>
              <w:t>Educators consistently maintain ongoing collaborative community partnerships and link with community support agencies to enhance children’s access, inclusion, and participation in the program. For example:</w:t>
            </w:r>
          </w:p>
          <w:p w14:paraId="55674ED5" w14:textId="77777777" w:rsidR="00B359EF" w:rsidRDefault="00B359EF" w:rsidP="00B359EF">
            <w:pPr>
              <w:numPr>
                <w:ilvl w:val="0"/>
                <w:numId w:val="46"/>
              </w:numPr>
              <w:pBdr>
                <w:top w:val="nil"/>
                <w:left w:val="nil"/>
                <w:bottom w:val="nil"/>
                <w:right w:val="nil"/>
                <w:between w:val="nil"/>
              </w:pBdr>
              <w:spacing w:after="0" w:line="259" w:lineRule="auto"/>
              <w:rPr>
                <w:color w:val="FF0000"/>
              </w:rPr>
            </w:pPr>
            <w:r>
              <w:rPr>
                <w:color w:val="FF0000"/>
              </w:rPr>
              <w:t xml:space="preserve">through ongoing partnerships such as regular visits, always </w:t>
            </w:r>
            <w:r>
              <w:rPr>
                <w:color w:val="FF0000"/>
              </w:rPr>
              <w:lastRenderedPageBreak/>
              <w:t xml:space="preserve">being accessible when required, regular phone catch-ups, coffee mornings. </w:t>
            </w:r>
          </w:p>
          <w:p w14:paraId="7A76C3FA" w14:textId="6AAAE70F" w:rsidR="004662DA" w:rsidRPr="00A00AB7" w:rsidRDefault="004662DA" w:rsidP="00701BDF">
            <w:pPr>
              <w:pBdr>
                <w:top w:val="nil"/>
                <w:left w:val="nil"/>
                <w:bottom w:val="nil"/>
                <w:right w:val="nil"/>
                <w:between w:val="nil"/>
              </w:pBdr>
              <w:spacing w:after="0" w:line="259" w:lineRule="auto"/>
              <w:rPr>
                <w:color w:val="FF0000"/>
              </w:rPr>
            </w:pP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BF4E2C">
        <w:tc>
          <w:tcPr>
            <w:tcW w:w="973" w:type="dxa"/>
          </w:tcPr>
          <w:p w14:paraId="40A419AF" w14:textId="77777777" w:rsidR="0098186A" w:rsidRPr="0098186A" w:rsidRDefault="0098186A" w:rsidP="0098186A">
            <w:pPr>
              <w:pStyle w:val="NormalWeb"/>
              <w:spacing w:before="0" w:beforeAutospacing="0" w:after="0" w:afterAutospacing="0"/>
              <w:rPr>
                <w:sz w:val="19"/>
                <w:szCs w:val="19"/>
                <w:lang w:eastAsia="en-AU"/>
              </w:rPr>
            </w:pPr>
            <w:r w:rsidRPr="0098186A">
              <w:rPr>
                <w:rFonts w:ascii="Calibri" w:hAnsi="Calibri" w:cs="Calibri"/>
                <w:color w:val="000000"/>
                <w:sz w:val="19"/>
                <w:szCs w:val="19"/>
              </w:rPr>
              <w:t>6.2.2</w:t>
            </w:r>
          </w:p>
          <w:p w14:paraId="727A2257" w14:textId="77777777" w:rsidR="0098186A" w:rsidRPr="0098186A" w:rsidRDefault="0098186A" w:rsidP="0098186A">
            <w:pPr>
              <w:pStyle w:val="NormalWeb"/>
              <w:spacing w:before="0" w:beforeAutospacing="0" w:after="0" w:afterAutospacing="0"/>
              <w:rPr>
                <w:sz w:val="19"/>
                <w:szCs w:val="19"/>
              </w:rPr>
            </w:pPr>
            <w:r w:rsidRPr="0098186A">
              <w:rPr>
                <w:rFonts w:ascii="Calibri" w:hAnsi="Calibri" w:cs="Calibri"/>
                <w:color w:val="000000"/>
                <w:sz w:val="19"/>
                <w:szCs w:val="19"/>
              </w:rPr>
              <w:t>Week 32</w:t>
            </w:r>
          </w:p>
          <w:p w14:paraId="543E98BC" w14:textId="4AD9A8B4" w:rsidR="00371FE4" w:rsidRDefault="009B4161" w:rsidP="0098186A">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5396F958" w:rsidR="00371FE4" w:rsidRPr="0057302A" w:rsidRDefault="009C10A8" w:rsidP="00371FE4">
            <w:pPr>
              <w:spacing w:after="0" w:line="240" w:lineRule="auto"/>
              <w:rPr>
                <w:rStyle w:val="textexposedshow"/>
                <w:rFonts w:cs="Calibri"/>
                <w:color w:val="1D2129"/>
                <w:sz w:val="20"/>
                <w:szCs w:val="20"/>
              </w:rPr>
            </w:pPr>
            <w:r w:rsidRPr="009C10A8">
              <w:rPr>
                <w:rStyle w:val="textexposedshow"/>
                <w:rFonts w:cs="Calibri"/>
                <w:color w:val="1D2129"/>
                <w:sz w:val="20"/>
                <w:szCs w:val="20"/>
              </w:rPr>
              <w:t>Limited consideration of opportunities to improve children's inclusion, learning, and wellbeing.</w:t>
            </w:r>
          </w:p>
        </w:tc>
        <w:tc>
          <w:tcPr>
            <w:tcW w:w="2268" w:type="dxa"/>
          </w:tcPr>
          <w:p w14:paraId="07830F15" w14:textId="07A7343F" w:rsidR="00371FE4" w:rsidRPr="0057302A" w:rsidRDefault="009C10A8" w:rsidP="00371FE4">
            <w:pPr>
              <w:spacing w:after="0" w:line="240" w:lineRule="auto"/>
              <w:rPr>
                <w:rStyle w:val="textexposedshow"/>
                <w:rFonts w:cs="Calibri"/>
                <w:color w:val="1D2129"/>
                <w:sz w:val="20"/>
                <w:szCs w:val="20"/>
              </w:rPr>
            </w:pPr>
            <w:r w:rsidRPr="009C10A8">
              <w:rPr>
                <w:rStyle w:val="textexposedshow"/>
                <w:rFonts w:cs="Calibri"/>
                <w:color w:val="1D2129"/>
                <w:sz w:val="20"/>
                <w:szCs w:val="20"/>
              </w:rPr>
              <w:t>We aim to actively identify and implement opportunities that enhance children's inclusion, learning, and overall wellbeing.</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27B59CA2" w14:textId="77777777" w:rsidR="009C10A8" w:rsidRPr="009C10A8" w:rsidRDefault="009C10A8" w:rsidP="009C10A8">
            <w:pPr>
              <w:spacing w:after="0"/>
              <w:textAlignment w:val="baseline"/>
              <w:rPr>
                <w:rStyle w:val="textexposedshow"/>
                <w:rFonts w:cs="Calibri"/>
                <w:color w:val="1D2129"/>
                <w:sz w:val="20"/>
                <w:szCs w:val="20"/>
              </w:rPr>
            </w:pPr>
            <w:r w:rsidRPr="009C10A8">
              <w:rPr>
                <w:rStyle w:val="textexposedshow"/>
                <w:rFonts w:cs="Calibri"/>
                <w:color w:val="1D2129"/>
                <w:sz w:val="20"/>
                <w:szCs w:val="20"/>
              </w:rPr>
              <w:t>Regularly review our curriculum and activities.</w:t>
            </w:r>
          </w:p>
          <w:p w14:paraId="7D46B160" w14:textId="77777777" w:rsidR="009C10A8" w:rsidRPr="009C10A8" w:rsidRDefault="009C10A8" w:rsidP="009C10A8">
            <w:pPr>
              <w:spacing w:after="0"/>
              <w:textAlignment w:val="baseline"/>
              <w:rPr>
                <w:rStyle w:val="textexposedshow"/>
                <w:rFonts w:cs="Calibri"/>
                <w:color w:val="1D2129"/>
                <w:sz w:val="20"/>
                <w:szCs w:val="20"/>
              </w:rPr>
            </w:pPr>
            <w:r w:rsidRPr="009C10A8">
              <w:rPr>
                <w:rStyle w:val="textexposedshow"/>
                <w:rFonts w:cs="Calibri"/>
                <w:color w:val="1D2129"/>
                <w:sz w:val="20"/>
                <w:szCs w:val="20"/>
              </w:rPr>
              <w:t>Seek input from children, families, and colleagues.</w:t>
            </w:r>
          </w:p>
          <w:p w14:paraId="1C0FB31D" w14:textId="77777777" w:rsidR="009C10A8" w:rsidRPr="009C10A8" w:rsidRDefault="009C10A8" w:rsidP="009C10A8">
            <w:pPr>
              <w:spacing w:after="0"/>
              <w:textAlignment w:val="baseline"/>
              <w:rPr>
                <w:rStyle w:val="textexposedshow"/>
                <w:rFonts w:cs="Calibri"/>
                <w:color w:val="1D2129"/>
                <w:sz w:val="20"/>
                <w:szCs w:val="20"/>
              </w:rPr>
            </w:pPr>
            <w:r w:rsidRPr="009C10A8">
              <w:rPr>
                <w:rStyle w:val="textexposedshow"/>
                <w:rFonts w:cs="Calibri"/>
                <w:color w:val="1D2129"/>
                <w:sz w:val="20"/>
                <w:szCs w:val="20"/>
              </w:rPr>
              <w:t>Explore new ideas, resources, and partnerships.</w:t>
            </w:r>
          </w:p>
          <w:p w14:paraId="21572BBD" w14:textId="77777777" w:rsidR="009C10A8" w:rsidRPr="009C10A8" w:rsidRDefault="009C10A8" w:rsidP="009C10A8">
            <w:pPr>
              <w:spacing w:after="0"/>
              <w:textAlignment w:val="baseline"/>
              <w:rPr>
                <w:rStyle w:val="textexposedshow"/>
                <w:rFonts w:cs="Calibri"/>
                <w:color w:val="1D2129"/>
                <w:sz w:val="20"/>
                <w:szCs w:val="20"/>
              </w:rPr>
            </w:pPr>
            <w:r w:rsidRPr="009C10A8">
              <w:rPr>
                <w:rStyle w:val="textexposedshow"/>
                <w:rFonts w:cs="Calibri"/>
                <w:color w:val="1D2129"/>
                <w:sz w:val="20"/>
                <w:szCs w:val="20"/>
              </w:rPr>
              <w:t>Implement changes that enhance inclusion, learning, and wellbeing.</w:t>
            </w:r>
          </w:p>
          <w:p w14:paraId="3CE109E2" w14:textId="2835C116" w:rsidR="00371FE4" w:rsidRPr="00D04580" w:rsidRDefault="009C10A8" w:rsidP="009C10A8">
            <w:pPr>
              <w:spacing w:after="0"/>
              <w:textAlignment w:val="baseline"/>
              <w:rPr>
                <w:rStyle w:val="textexposedshow"/>
                <w:rFonts w:cs="Calibri"/>
                <w:color w:val="1D2129"/>
                <w:sz w:val="20"/>
                <w:szCs w:val="20"/>
              </w:rPr>
            </w:pPr>
            <w:r w:rsidRPr="009C10A8">
              <w:rPr>
                <w:rStyle w:val="textexposedshow"/>
                <w:rFonts w:cs="Calibri"/>
                <w:color w:val="1D2129"/>
                <w:sz w:val="20"/>
                <w:szCs w:val="20"/>
              </w:rPr>
              <w:t>Continuously monitor and adapt our practices based on results.</w:t>
            </w:r>
          </w:p>
        </w:tc>
        <w:tc>
          <w:tcPr>
            <w:tcW w:w="3402" w:type="dxa"/>
          </w:tcPr>
          <w:p w14:paraId="6BAE5C4B" w14:textId="77777777" w:rsidR="00E8278C" w:rsidRDefault="00E8278C" w:rsidP="00E8278C">
            <w:pPr>
              <w:rPr>
                <w:i/>
              </w:rPr>
            </w:pPr>
            <w:r>
              <w:rPr>
                <w:i/>
              </w:rPr>
              <w:t>Educators regularly consider opportunities to enhance children’s inclusion, learning, and wellbeing. For example:</w:t>
            </w:r>
          </w:p>
          <w:p w14:paraId="1B17A495" w14:textId="23404F62" w:rsidR="00E8278C" w:rsidRDefault="00E8278C" w:rsidP="00E8278C">
            <w:pPr>
              <w:numPr>
                <w:ilvl w:val="0"/>
                <w:numId w:val="47"/>
              </w:numPr>
              <w:pBdr>
                <w:top w:val="nil"/>
                <w:left w:val="nil"/>
                <w:bottom w:val="nil"/>
                <w:right w:val="nil"/>
                <w:between w:val="nil"/>
              </w:pBdr>
              <w:spacing w:after="0" w:line="259" w:lineRule="auto"/>
              <w:rPr>
                <w:color w:val="FF0000"/>
              </w:rPr>
            </w:pPr>
            <w:r>
              <w:rPr>
                <w:color w:val="FF0000"/>
              </w:rPr>
              <w:t xml:space="preserve">new partnerships with community organisations </w:t>
            </w:r>
          </w:p>
          <w:p w14:paraId="75119B01" w14:textId="77777777" w:rsidR="00E8278C" w:rsidRDefault="00E8278C" w:rsidP="00E8278C">
            <w:pPr>
              <w:numPr>
                <w:ilvl w:val="0"/>
                <w:numId w:val="47"/>
              </w:numPr>
              <w:pBdr>
                <w:top w:val="nil"/>
                <w:left w:val="nil"/>
                <w:bottom w:val="nil"/>
                <w:right w:val="nil"/>
                <w:between w:val="nil"/>
              </w:pBdr>
              <w:spacing w:after="0" w:line="259" w:lineRule="auto"/>
              <w:rPr>
                <w:color w:val="FF0000"/>
              </w:rPr>
            </w:pPr>
            <w:r>
              <w:rPr>
                <w:color w:val="FF0000"/>
              </w:rPr>
              <w:t>connections with cultural groups</w:t>
            </w:r>
          </w:p>
          <w:p w14:paraId="3F745C04" w14:textId="77777777" w:rsidR="00E8278C" w:rsidRDefault="00E8278C" w:rsidP="00E8278C">
            <w:pPr>
              <w:numPr>
                <w:ilvl w:val="0"/>
                <w:numId w:val="47"/>
              </w:numPr>
              <w:pBdr>
                <w:top w:val="nil"/>
                <w:left w:val="nil"/>
                <w:bottom w:val="nil"/>
                <w:right w:val="nil"/>
                <w:between w:val="nil"/>
              </w:pBdr>
              <w:spacing w:after="0" w:line="259" w:lineRule="auto"/>
              <w:rPr>
                <w:color w:val="FF0000"/>
              </w:rPr>
            </w:pPr>
            <w:r>
              <w:rPr>
                <w:color w:val="FF0000"/>
              </w:rPr>
              <w:t>resources, words, and activities supporting home language and culture</w:t>
            </w:r>
          </w:p>
          <w:p w14:paraId="6DFAD998" w14:textId="77777777" w:rsidR="00E8278C" w:rsidRDefault="00E8278C" w:rsidP="00E8278C">
            <w:pPr>
              <w:numPr>
                <w:ilvl w:val="0"/>
                <w:numId w:val="47"/>
              </w:numPr>
              <w:pBdr>
                <w:top w:val="nil"/>
                <w:left w:val="nil"/>
                <w:bottom w:val="nil"/>
                <w:right w:val="nil"/>
                <w:between w:val="nil"/>
              </w:pBdr>
              <w:spacing w:after="0" w:line="259" w:lineRule="auto"/>
              <w:rPr>
                <w:color w:val="FF0000"/>
              </w:rPr>
            </w:pPr>
            <w:r>
              <w:rPr>
                <w:color w:val="FF0000"/>
              </w:rPr>
              <w:t>focus on children’s interests and strengths to encourage participation</w:t>
            </w:r>
          </w:p>
          <w:p w14:paraId="4B7A9BBF" w14:textId="77777777" w:rsidR="00E8278C" w:rsidRDefault="00E8278C" w:rsidP="00E8278C">
            <w:pPr>
              <w:numPr>
                <w:ilvl w:val="0"/>
                <w:numId w:val="47"/>
              </w:numPr>
              <w:pBdr>
                <w:top w:val="nil"/>
                <w:left w:val="nil"/>
                <w:bottom w:val="nil"/>
                <w:right w:val="nil"/>
                <w:between w:val="nil"/>
              </w:pBdr>
              <w:spacing w:after="0" w:line="259" w:lineRule="auto"/>
              <w:rPr>
                <w:color w:val="FF0000"/>
              </w:rPr>
            </w:pPr>
            <w:r>
              <w:rPr>
                <w:color w:val="FF0000"/>
              </w:rPr>
              <w:t>adjustments to environment and program to support children with additional needs</w:t>
            </w:r>
          </w:p>
          <w:p w14:paraId="39B5CE39" w14:textId="77777777" w:rsidR="00E8278C" w:rsidRDefault="00E8278C" w:rsidP="00E8278C">
            <w:pPr>
              <w:numPr>
                <w:ilvl w:val="0"/>
                <w:numId w:val="47"/>
              </w:numPr>
              <w:pBdr>
                <w:top w:val="nil"/>
                <w:left w:val="nil"/>
                <w:bottom w:val="nil"/>
                <w:right w:val="nil"/>
                <w:between w:val="nil"/>
              </w:pBdr>
              <w:spacing w:after="0" w:line="259" w:lineRule="auto"/>
              <w:rPr>
                <w:color w:val="FF0000"/>
              </w:rPr>
            </w:pPr>
            <w:r>
              <w:rPr>
                <w:color w:val="FF0000"/>
              </w:rPr>
              <w:t>opportunities that challenge children (risky play)</w:t>
            </w:r>
          </w:p>
          <w:p w14:paraId="0EB52066" w14:textId="77777777" w:rsidR="00E8278C" w:rsidRDefault="00E8278C" w:rsidP="00E8278C">
            <w:pPr>
              <w:numPr>
                <w:ilvl w:val="0"/>
                <w:numId w:val="47"/>
              </w:numPr>
              <w:pBdr>
                <w:top w:val="nil"/>
                <w:left w:val="nil"/>
                <w:bottom w:val="nil"/>
                <w:right w:val="nil"/>
                <w:between w:val="nil"/>
              </w:pBdr>
              <w:spacing w:after="0" w:line="259" w:lineRule="auto"/>
              <w:rPr>
                <w:color w:val="FF0000"/>
              </w:rPr>
            </w:pPr>
            <w:r>
              <w:rPr>
                <w:color w:val="FF0000"/>
              </w:rPr>
              <w:t xml:space="preserve">spaces where children can “chill out” </w:t>
            </w:r>
          </w:p>
          <w:p w14:paraId="55A8ABAA" w14:textId="77777777" w:rsidR="00E8278C" w:rsidRDefault="00E8278C" w:rsidP="00E8278C">
            <w:pPr>
              <w:numPr>
                <w:ilvl w:val="0"/>
                <w:numId w:val="47"/>
              </w:numPr>
              <w:pBdr>
                <w:top w:val="nil"/>
                <w:left w:val="nil"/>
                <w:bottom w:val="nil"/>
                <w:right w:val="nil"/>
                <w:between w:val="nil"/>
              </w:pBdr>
              <w:spacing w:after="0" w:line="259" w:lineRule="auto"/>
              <w:rPr>
                <w:color w:val="FF0000"/>
              </w:rPr>
            </w:pPr>
            <w:r>
              <w:rPr>
                <w:color w:val="FF0000"/>
              </w:rPr>
              <w:t xml:space="preserve">spaces where children can </w:t>
            </w:r>
            <w:r>
              <w:rPr>
                <w:color w:val="FF0000"/>
              </w:rPr>
              <w:lastRenderedPageBreak/>
              <w:t>“hide”</w:t>
            </w:r>
          </w:p>
          <w:p w14:paraId="42CE84F4" w14:textId="77777777" w:rsidR="00E8278C" w:rsidRDefault="00E8278C" w:rsidP="00E8278C">
            <w:pPr>
              <w:numPr>
                <w:ilvl w:val="0"/>
                <w:numId w:val="47"/>
              </w:numPr>
              <w:pBdr>
                <w:top w:val="nil"/>
                <w:left w:val="nil"/>
                <w:bottom w:val="nil"/>
                <w:right w:val="nil"/>
                <w:between w:val="nil"/>
              </w:pBdr>
              <w:spacing w:after="0" w:line="259" w:lineRule="auto"/>
              <w:rPr>
                <w:color w:val="FF0000"/>
              </w:rPr>
            </w:pPr>
            <w:r>
              <w:rPr>
                <w:color w:val="FF0000"/>
              </w:rPr>
              <w:t>leadership opportunities</w:t>
            </w:r>
          </w:p>
          <w:p w14:paraId="07CF6993" w14:textId="77777777" w:rsidR="00E8278C" w:rsidRDefault="00E8278C" w:rsidP="00E8278C">
            <w:pPr>
              <w:numPr>
                <w:ilvl w:val="0"/>
                <w:numId w:val="47"/>
              </w:numPr>
              <w:pBdr>
                <w:top w:val="nil"/>
                <w:left w:val="nil"/>
                <w:bottom w:val="nil"/>
                <w:right w:val="nil"/>
                <w:between w:val="nil"/>
              </w:pBdr>
              <w:spacing w:after="0" w:line="259" w:lineRule="auto"/>
              <w:rPr>
                <w:color w:val="FF0000"/>
              </w:rPr>
            </w:pPr>
            <w:r>
              <w:rPr>
                <w:color w:val="FF0000"/>
              </w:rPr>
              <w:t>collaborative learning (see element 5.2.1)</w:t>
            </w:r>
          </w:p>
          <w:p w14:paraId="3B11D337" w14:textId="77777777" w:rsidR="00E8278C" w:rsidRDefault="00E8278C" w:rsidP="00E8278C">
            <w:pPr>
              <w:numPr>
                <w:ilvl w:val="0"/>
                <w:numId w:val="47"/>
              </w:numPr>
              <w:pBdr>
                <w:top w:val="nil"/>
                <w:left w:val="nil"/>
                <w:bottom w:val="nil"/>
                <w:right w:val="nil"/>
                <w:between w:val="nil"/>
              </w:pBdr>
              <w:spacing w:after="0" w:line="259" w:lineRule="auto"/>
              <w:rPr>
                <w:color w:val="FF0000"/>
              </w:rPr>
            </w:pPr>
            <w:r>
              <w:rPr>
                <w:color w:val="FF0000"/>
              </w:rPr>
              <w:t>learning about emotions, feelings, socially acceptable behaviour</w:t>
            </w:r>
          </w:p>
          <w:p w14:paraId="2B6B6508" w14:textId="77777777" w:rsidR="00024C38" w:rsidRDefault="00E8278C" w:rsidP="00024C38">
            <w:pPr>
              <w:numPr>
                <w:ilvl w:val="0"/>
                <w:numId w:val="47"/>
              </w:numPr>
              <w:pBdr>
                <w:top w:val="nil"/>
                <w:left w:val="nil"/>
                <w:bottom w:val="nil"/>
                <w:right w:val="nil"/>
                <w:between w:val="nil"/>
              </w:pBdr>
              <w:spacing w:after="0" w:line="259" w:lineRule="auto"/>
              <w:rPr>
                <w:color w:val="FF0000"/>
              </w:rPr>
            </w:pPr>
            <w:r>
              <w:rPr>
                <w:color w:val="FF0000"/>
              </w:rPr>
              <w:t>any extended-learning activities</w:t>
            </w:r>
            <w:r w:rsidR="00024C38">
              <w:rPr>
                <w:color w:val="FF0000"/>
              </w:rPr>
              <w:t xml:space="preserve"> </w:t>
            </w:r>
          </w:p>
          <w:p w14:paraId="4282EA4D" w14:textId="24DF73D4" w:rsidR="00A5063A" w:rsidRPr="006312D2" w:rsidRDefault="00E8278C" w:rsidP="00024C38">
            <w:pPr>
              <w:numPr>
                <w:ilvl w:val="0"/>
                <w:numId w:val="47"/>
              </w:numPr>
              <w:pBdr>
                <w:top w:val="nil"/>
                <w:left w:val="nil"/>
                <w:bottom w:val="nil"/>
                <w:right w:val="nil"/>
                <w:between w:val="nil"/>
              </w:pBdr>
              <w:spacing w:after="0" w:line="259" w:lineRule="auto"/>
              <w:rPr>
                <w:color w:val="FF0000"/>
              </w:rPr>
            </w:pPr>
            <w:r>
              <w:rPr>
                <w:color w:val="FF0000"/>
              </w:rPr>
              <w:t>learning during routines.</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BF4E2C">
        <w:tc>
          <w:tcPr>
            <w:tcW w:w="973" w:type="dxa"/>
          </w:tcPr>
          <w:p w14:paraId="1110BA73" w14:textId="77777777" w:rsidR="0098186A" w:rsidRPr="0098186A" w:rsidRDefault="0098186A" w:rsidP="0098186A">
            <w:pPr>
              <w:pStyle w:val="NormalWeb"/>
              <w:spacing w:before="0" w:beforeAutospacing="0" w:after="0" w:afterAutospacing="0"/>
              <w:rPr>
                <w:sz w:val="19"/>
                <w:szCs w:val="19"/>
                <w:lang w:eastAsia="en-AU"/>
              </w:rPr>
            </w:pPr>
            <w:r w:rsidRPr="0098186A">
              <w:rPr>
                <w:rFonts w:ascii="Calibri" w:hAnsi="Calibri" w:cs="Calibri"/>
                <w:color w:val="000000"/>
                <w:sz w:val="19"/>
                <w:szCs w:val="19"/>
              </w:rPr>
              <w:t>6.2.2</w:t>
            </w:r>
          </w:p>
          <w:p w14:paraId="49CD9855" w14:textId="77777777" w:rsidR="0098186A" w:rsidRPr="0098186A" w:rsidRDefault="0098186A" w:rsidP="0098186A">
            <w:pPr>
              <w:pStyle w:val="NormalWeb"/>
              <w:spacing w:before="0" w:beforeAutospacing="0" w:after="0" w:afterAutospacing="0"/>
              <w:rPr>
                <w:sz w:val="19"/>
                <w:szCs w:val="19"/>
              </w:rPr>
            </w:pPr>
            <w:r w:rsidRPr="0098186A">
              <w:rPr>
                <w:rFonts w:ascii="Calibri" w:hAnsi="Calibri" w:cs="Calibri"/>
                <w:color w:val="000000"/>
                <w:sz w:val="19"/>
                <w:szCs w:val="19"/>
              </w:rPr>
              <w:t>Week 32</w:t>
            </w:r>
          </w:p>
          <w:p w14:paraId="58F53C8E" w14:textId="1B29CF8B" w:rsidR="00075FF4" w:rsidRDefault="002E1D13" w:rsidP="0098186A">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6D508C44" w:rsidR="00075FF4" w:rsidRPr="0057302A" w:rsidRDefault="00786038" w:rsidP="00075FF4">
            <w:pPr>
              <w:spacing w:after="0" w:line="240" w:lineRule="auto"/>
              <w:rPr>
                <w:rStyle w:val="textexposedshow"/>
                <w:rFonts w:cs="Calibri"/>
                <w:color w:val="1D2129"/>
                <w:sz w:val="20"/>
                <w:szCs w:val="20"/>
              </w:rPr>
            </w:pPr>
            <w:r w:rsidRPr="00786038">
              <w:rPr>
                <w:rStyle w:val="textexposedshow"/>
                <w:rFonts w:cs="Calibri"/>
                <w:color w:val="1D2129"/>
                <w:sz w:val="20"/>
                <w:szCs w:val="20"/>
              </w:rPr>
              <w:t>Limited community partnerships affecting the sense of inclusiveness and belonging at the service.</w:t>
            </w:r>
          </w:p>
        </w:tc>
        <w:tc>
          <w:tcPr>
            <w:tcW w:w="2268" w:type="dxa"/>
          </w:tcPr>
          <w:p w14:paraId="1B8BD92E" w14:textId="318035AC" w:rsidR="00075FF4" w:rsidRPr="0057302A" w:rsidRDefault="004E4387" w:rsidP="00075FF4">
            <w:pPr>
              <w:spacing w:after="0" w:line="240" w:lineRule="auto"/>
              <w:rPr>
                <w:rStyle w:val="textexposedshow"/>
                <w:rFonts w:cs="Calibri"/>
                <w:color w:val="1D2129"/>
                <w:sz w:val="20"/>
                <w:szCs w:val="20"/>
              </w:rPr>
            </w:pPr>
            <w:r w:rsidRPr="004E4387">
              <w:rPr>
                <w:rStyle w:val="textexposedshow"/>
                <w:rFonts w:cs="Calibri"/>
                <w:color w:val="1D2129"/>
                <w:sz w:val="20"/>
                <w:szCs w:val="20"/>
              </w:rPr>
              <w:t>We aim to create a welcoming and inclusive environment through community partnerships that make everyone feel like they belong.</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A45A61D" w14:textId="78769022" w:rsidR="00814A8C" w:rsidRPr="00814A8C" w:rsidRDefault="004E4387" w:rsidP="004E4387">
            <w:pPr>
              <w:rPr>
                <w:rFonts w:cs="Calibri"/>
                <w:sz w:val="20"/>
                <w:szCs w:val="20"/>
              </w:rPr>
            </w:pPr>
            <w:r w:rsidRPr="004E4387">
              <w:rPr>
                <w:rFonts w:cs="Calibri"/>
                <w:sz w:val="20"/>
                <w:szCs w:val="20"/>
              </w:rPr>
              <w:t>Identify potential community partners.</w:t>
            </w:r>
            <w:r>
              <w:rPr>
                <w:rFonts w:cs="Calibri"/>
                <w:sz w:val="20"/>
                <w:szCs w:val="20"/>
              </w:rPr>
              <w:br/>
            </w:r>
            <w:r w:rsidRPr="004E4387">
              <w:rPr>
                <w:rFonts w:cs="Calibri"/>
                <w:sz w:val="20"/>
                <w:szCs w:val="20"/>
              </w:rPr>
              <w:t>Build relationships and collaborations with these partners.</w:t>
            </w:r>
            <w:r>
              <w:rPr>
                <w:rFonts w:cs="Calibri"/>
                <w:sz w:val="20"/>
                <w:szCs w:val="20"/>
              </w:rPr>
              <w:br/>
            </w:r>
            <w:r w:rsidRPr="004E4387">
              <w:rPr>
                <w:rFonts w:cs="Calibri"/>
                <w:sz w:val="20"/>
                <w:szCs w:val="20"/>
              </w:rPr>
              <w:t>Plan joint activities and initiatives that promote inclusiveness and belonging.</w:t>
            </w:r>
            <w:r>
              <w:rPr>
                <w:rFonts w:cs="Calibri"/>
                <w:sz w:val="20"/>
                <w:szCs w:val="20"/>
              </w:rPr>
              <w:br/>
            </w:r>
            <w:r w:rsidRPr="004E4387">
              <w:rPr>
                <w:rFonts w:cs="Calibri"/>
                <w:sz w:val="20"/>
                <w:szCs w:val="20"/>
              </w:rPr>
              <w:t>Encourage active participation from children, families, and community members.</w:t>
            </w:r>
            <w:r>
              <w:rPr>
                <w:rFonts w:cs="Calibri"/>
                <w:sz w:val="20"/>
                <w:szCs w:val="20"/>
              </w:rPr>
              <w:br/>
            </w:r>
            <w:r w:rsidRPr="004E4387">
              <w:rPr>
                <w:rFonts w:cs="Calibri"/>
                <w:sz w:val="20"/>
                <w:szCs w:val="20"/>
              </w:rPr>
              <w:t>Regularly assess the impact of these partnerships on the sense of inclusiveness and belonging.</w:t>
            </w:r>
          </w:p>
        </w:tc>
        <w:tc>
          <w:tcPr>
            <w:tcW w:w="3402" w:type="dxa"/>
          </w:tcPr>
          <w:p w14:paraId="27AF13A4" w14:textId="77777777" w:rsidR="00D476F8" w:rsidRDefault="00D476F8" w:rsidP="00D476F8">
            <w:pPr>
              <w:rPr>
                <w:i/>
              </w:rPr>
            </w:pPr>
            <w:r>
              <w:rPr>
                <w:i/>
              </w:rPr>
              <w:t>Community partnerships contribute to a culture of inclusiveness and sense of belonging at the service. For example, they:</w:t>
            </w:r>
          </w:p>
          <w:p w14:paraId="0291315B" w14:textId="77777777" w:rsidR="00D476F8" w:rsidRPr="00024C38" w:rsidRDefault="00D476F8" w:rsidP="00D476F8">
            <w:pPr>
              <w:numPr>
                <w:ilvl w:val="0"/>
                <w:numId w:val="48"/>
              </w:numPr>
              <w:pBdr>
                <w:top w:val="nil"/>
                <w:left w:val="nil"/>
                <w:bottom w:val="nil"/>
                <w:right w:val="nil"/>
                <w:between w:val="nil"/>
              </w:pBdr>
              <w:spacing w:after="0" w:line="259" w:lineRule="auto"/>
              <w:rPr>
                <w:color w:val="FF0000"/>
              </w:rPr>
            </w:pPr>
            <w:r>
              <w:rPr>
                <w:color w:val="FF0000"/>
              </w:rPr>
              <w:t>enable all c</w:t>
            </w:r>
            <w:r w:rsidRPr="00024C38">
              <w:rPr>
                <w:color w:val="FF0000"/>
              </w:rPr>
              <w:t>hildren to participate eg…</w:t>
            </w:r>
          </w:p>
          <w:p w14:paraId="171F1B12" w14:textId="05232194" w:rsidR="00D476F8" w:rsidRPr="00024C38" w:rsidRDefault="00D476F8" w:rsidP="00D476F8">
            <w:pPr>
              <w:numPr>
                <w:ilvl w:val="0"/>
                <w:numId w:val="48"/>
              </w:numPr>
              <w:pBdr>
                <w:top w:val="nil"/>
                <w:left w:val="nil"/>
                <w:bottom w:val="nil"/>
                <w:right w:val="nil"/>
                <w:between w:val="nil"/>
              </w:pBdr>
              <w:spacing w:after="0" w:line="259" w:lineRule="auto"/>
              <w:rPr>
                <w:color w:val="FF0000"/>
              </w:rPr>
            </w:pPr>
            <w:r w:rsidRPr="00024C38">
              <w:rPr>
                <w:color w:val="FF0000"/>
              </w:rPr>
              <w:t xml:space="preserve">address social justice and equity issues eg… </w:t>
            </w:r>
          </w:p>
          <w:p w14:paraId="1F5E3F0F" w14:textId="719A09DB" w:rsidR="00D476F8" w:rsidRDefault="00D476F8" w:rsidP="00D476F8">
            <w:pPr>
              <w:numPr>
                <w:ilvl w:val="0"/>
                <w:numId w:val="48"/>
              </w:numPr>
              <w:pBdr>
                <w:top w:val="nil"/>
                <w:left w:val="nil"/>
                <w:bottom w:val="nil"/>
                <w:right w:val="nil"/>
                <w:between w:val="nil"/>
              </w:pBdr>
              <w:spacing w:after="0" w:line="259" w:lineRule="auto"/>
              <w:rPr>
                <w:color w:val="FF0000"/>
              </w:rPr>
            </w:pPr>
            <w:r>
              <w:rPr>
                <w:color w:val="FF0000"/>
              </w:rPr>
              <w:t xml:space="preserve">support families, enabling them to focus more on their </w:t>
            </w:r>
            <w:r w:rsidR="00E4592B">
              <w:rPr>
                <w:color w:val="FF0000"/>
              </w:rPr>
              <w:t>children, which</w:t>
            </w:r>
            <w:r>
              <w:rPr>
                <w:color w:val="FF0000"/>
              </w:rPr>
              <w:t xml:space="preserve"> makes them feel included</w:t>
            </w:r>
          </w:p>
          <w:p w14:paraId="7DA5F1CB" w14:textId="77777777" w:rsidR="00D476F8" w:rsidRDefault="00D476F8" w:rsidP="00D476F8">
            <w:pPr>
              <w:numPr>
                <w:ilvl w:val="0"/>
                <w:numId w:val="48"/>
              </w:numPr>
              <w:pBdr>
                <w:top w:val="nil"/>
                <w:left w:val="nil"/>
                <w:bottom w:val="nil"/>
                <w:right w:val="nil"/>
                <w:between w:val="nil"/>
              </w:pBdr>
              <w:spacing w:after="0" w:line="259" w:lineRule="auto"/>
              <w:rPr>
                <w:color w:val="FF0000"/>
              </w:rPr>
            </w:pPr>
            <w:r>
              <w:rPr>
                <w:color w:val="FF0000"/>
              </w:rPr>
              <w:t>encourage cultural connections to ensure children and families from diverse backgrounds feel included.</w:t>
            </w:r>
          </w:p>
          <w:p w14:paraId="4BC6729F" w14:textId="5376CB66" w:rsidR="00A93BCD" w:rsidRPr="0051497C" w:rsidRDefault="00A93BCD" w:rsidP="00194513">
            <w:pPr>
              <w:pBdr>
                <w:top w:val="nil"/>
                <w:left w:val="nil"/>
                <w:bottom w:val="nil"/>
                <w:right w:val="nil"/>
                <w:between w:val="nil"/>
              </w:pBdr>
              <w:spacing w:after="0" w:line="259" w:lineRule="auto"/>
              <w:rPr>
                <w:color w:val="FF0000"/>
              </w:rPr>
            </w:pP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2EF1672C" w:rsidR="003B74C5" w:rsidRPr="003B74C5" w:rsidRDefault="006230CA" w:rsidP="00B90E24">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C70935">
        <w:rPr>
          <w:rFonts w:ascii="HelveticaNeue-Thin" w:hAnsi="HelveticaNeue-Thin" w:cs="HelveticaNeue-Thin"/>
          <w:b/>
          <w:bCs/>
          <w:color w:val="010202"/>
        </w:rPr>
        <w:t>6</w:t>
      </w:r>
      <w:r w:rsidR="004144DC">
        <w:rPr>
          <w:rFonts w:ascii="HelveticaNeue-Thin" w:hAnsi="HelveticaNeue-Thin" w:cs="HelveticaNeue-Thin"/>
          <w:b/>
          <w:bCs/>
          <w:color w:val="010202"/>
        </w:rPr>
        <w:t>.</w:t>
      </w:r>
      <w:r w:rsidR="006A32AA">
        <w:rPr>
          <w:rFonts w:ascii="HelveticaNeue-Thin" w:hAnsi="HelveticaNeue-Thin" w:cs="HelveticaNeue-Thin"/>
          <w:b/>
          <w:bCs/>
          <w:color w:val="010202"/>
        </w:rPr>
        <w:t xml:space="preserve">2 </w:t>
      </w:r>
      <w:r w:rsidR="00B90E24" w:rsidRPr="00B90E24">
        <w:rPr>
          <w:rFonts w:ascii="HelveticaNeue-Thin" w:hAnsi="HelveticaNeue-Thin" w:cs="HelveticaNeue-Thin"/>
          <w:b/>
          <w:bCs/>
          <w:color w:val="010202"/>
        </w:rPr>
        <w:t>Collaborative</w:t>
      </w:r>
      <w:r w:rsidR="00B90E24">
        <w:rPr>
          <w:rFonts w:ascii="HelveticaNeue-Thin" w:hAnsi="HelveticaNeue-Thin" w:cs="HelveticaNeue-Thin"/>
          <w:b/>
          <w:bCs/>
          <w:color w:val="010202"/>
        </w:rPr>
        <w:t xml:space="preserve"> </w:t>
      </w:r>
      <w:r w:rsidR="00B90E24" w:rsidRPr="00B90E24">
        <w:rPr>
          <w:rFonts w:ascii="HelveticaNeue-Thin" w:hAnsi="HelveticaNeue-Thin" w:cs="HelveticaNeue-Thin"/>
          <w:b/>
          <w:bCs/>
          <w:color w:val="010202"/>
        </w:rPr>
        <w:t>Partnerships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31ABBA6D" w:rsidR="00B0081A" w:rsidRDefault="008D4EE1" w:rsidP="00B0081A">
            <w:pPr>
              <w:spacing w:after="0"/>
              <w:jc w:val="both"/>
              <w:rPr>
                <w:rFonts w:cs="Arial"/>
              </w:rPr>
            </w:pPr>
            <w:r w:rsidRPr="00B0081A">
              <w:rPr>
                <w:rFonts w:cs="Arial"/>
              </w:rPr>
              <w:t xml:space="preserve">In the strength example for element </w:t>
            </w:r>
            <w:r w:rsidR="00B90E24">
              <w:rPr>
                <w:rFonts w:cs="Arial"/>
              </w:rPr>
              <w:t>6.2.</w:t>
            </w:r>
            <w:r w:rsidR="0098186A">
              <w:rPr>
                <w:rFonts w:cs="Arial"/>
              </w:rPr>
              <w:t>2</w:t>
            </w:r>
            <w:r w:rsidR="00862DE6">
              <w:rPr>
                <w:rFonts w:cs="Arial"/>
              </w:rPr>
              <w:t xml:space="preserve"> </w:t>
            </w:r>
            <w:r w:rsidRPr="00B0081A">
              <w:rPr>
                <w:rFonts w:cs="Arial"/>
              </w:rPr>
              <w:t>we have identified the following exceeding theme indicators:</w:t>
            </w:r>
          </w:p>
          <w:p w14:paraId="4E7DC49D" w14:textId="10AE2DE3" w:rsidR="008D4EE1" w:rsidRPr="00E20089" w:rsidRDefault="00024C38" w:rsidP="00BA0424">
            <w:pPr>
              <w:numPr>
                <w:ilvl w:val="0"/>
                <w:numId w:val="1"/>
              </w:numPr>
              <w:rPr>
                <w:rFonts w:cs="Arial"/>
                <w:iCs/>
              </w:rPr>
            </w:pPr>
            <w:r w:rsidRPr="00024C38">
              <w:rPr>
                <w:rFonts w:cs="Arial"/>
                <w:iCs/>
              </w:rPr>
              <w:t>Educators consistently maintain ongoing collaborative community partnerships and link with community support agencies to enhance children’s access, inclusion, and participation in the program.</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0CF9F5C7" w:rsidR="00A16148" w:rsidRDefault="008D4EE1" w:rsidP="002D52F5">
            <w:pPr>
              <w:spacing w:after="0"/>
            </w:pPr>
            <w:r w:rsidRPr="00B0081A">
              <w:t xml:space="preserve">In the strength example for element </w:t>
            </w:r>
            <w:r w:rsidR="00B90E24">
              <w:rPr>
                <w:rFonts w:cs="Arial"/>
              </w:rPr>
              <w:t>6.2.</w:t>
            </w:r>
            <w:r w:rsidR="0098186A">
              <w:rPr>
                <w:rFonts w:cs="Arial"/>
              </w:rPr>
              <w:t>2</w:t>
            </w:r>
            <w:r w:rsidR="00B90E24">
              <w:rPr>
                <w:rFonts w:cs="Arial"/>
              </w:rPr>
              <w:t xml:space="preserve"> </w:t>
            </w:r>
            <w:r w:rsidRPr="00B0081A">
              <w:t>we have identified the following exceeding theme indicators:</w:t>
            </w:r>
            <w:r w:rsidR="00A16148" w:rsidRPr="00B0081A">
              <w:t xml:space="preserve"> </w:t>
            </w:r>
          </w:p>
          <w:p w14:paraId="79641D8F" w14:textId="5C0E5939" w:rsidR="00B0081A" w:rsidRPr="00E20089" w:rsidRDefault="00B768E3" w:rsidP="00405E26">
            <w:pPr>
              <w:numPr>
                <w:ilvl w:val="0"/>
                <w:numId w:val="1"/>
              </w:numPr>
              <w:spacing w:after="0"/>
              <w:rPr>
                <w:iCs/>
              </w:rPr>
            </w:pPr>
            <w:r w:rsidRPr="00B768E3">
              <w:rPr>
                <w:iCs/>
              </w:rPr>
              <w:t>Educators regularly consider opportunities to enhance children’s inclusion, learning, and wellbeing.</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4E8E4476" w:rsidR="00317C21" w:rsidRDefault="008D4EE1" w:rsidP="00B0081A">
            <w:pPr>
              <w:spacing w:after="0"/>
            </w:pPr>
            <w:r w:rsidRPr="00B0081A">
              <w:t xml:space="preserve">In the strength example for element </w:t>
            </w:r>
            <w:r w:rsidR="00B90E24">
              <w:rPr>
                <w:rFonts w:cs="Arial"/>
              </w:rPr>
              <w:t>6.2.</w:t>
            </w:r>
            <w:r w:rsidR="0098186A">
              <w:rPr>
                <w:rFonts w:cs="Arial"/>
              </w:rPr>
              <w:t>2</w:t>
            </w:r>
            <w:r w:rsidR="00B90E24">
              <w:rPr>
                <w:rFonts w:cs="Arial"/>
              </w:rPr>
              <w:t xml:space="preserve"> </w:t>
            </w:r>
            <w:r w:rsidRPr="00B0081A">
              <w:t>we have identified the following exceeding theme indicators:</w:t>
            </w:r>
          </w:p>
          <w:p w14:paraId="6FF3C3FB" w14:textId="1869A747" w:rsidR="00B0081A" w:rsidRPr="006726C0" w:rsidRDefault="00D22CF4" w:rsidP="007E14DC">
            <w:pPr>
              <w:numPr>
                <w:ilvl w:val="0"/>
                <w:numId w:val="32"/>
              </w:numPr>
              <w:rPr>
                <w:iCs/>
              </w:rPr>
            </w:pPr>
            <w:r w:rsidRPr="00D22CF4">
              <w:rPr>
                <w:iCs/>
              </w:rPr>
              <w:t>Community partnerships contribute to a culture of inclusiveness and sense of belonging at the service.</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73F20DC"/>
    <w:multiLevelType w:val="multilevel"/>
    <w:tmpl w:val="A75A96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8"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75D7474"/>
    <w:multiLevelType w:val="multilevel"/>
    <w:tmpl w:val="8DDC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BF4CFA"/>
    <w:multiLevelType w:val="multilevel"/>
    <w:tmpl w:val="CE86A63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442FB7"/>
    <w:multiLevelType w:val="multilevel"/>
    <w:tmpl w:val="992A7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0A144D3"/>
    <w:multiLevelType w:val="multilevel"/>
    <w:tmpl w:val="2792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18D1A27"/>
    <w:multiLevelType w:val="multilevel"/>
    <w:tmpl w:val="05F4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7E46B42"/>
    <w:multiLevelType w:val="multilevel"/>
    <w:tmpl w:val="2C0E7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4" w15:restartNumberingAfterBreak="0">
    <w:nsid w:val="4E153163"/>
    <w:multiLevelType w:val="multilevel"/>
    <w:tmpl w:val="B6FA0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87A08DA"/>
    <w:multiLevelType w:val="multilevel"/>
    <w:tmpl w:val="9386F3D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28F586B"/>
    <w:multiLevelType w:val="multilevel"/>
    <w:tmpl w:val="B7EE9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64567348"/>
    <w:multiLevelType w:val="multilevel"/>
    <w:tmpl w:val="D1041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A5D16FE"/>
    <w:multiLevelType w:val="multilevel"/>
    <w:tmpl w:val="9CA63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30"/>
  </w:num>
  <w:num w:numId="2" w16cid:durableId="2047951240">
    <w:abstractNumId w:val="36"/>
  </w:num>
  <w:num w:numId="3" w16cid:durableId="677923796">
    <w:abstractNumId w:val="27"/>
  </w:num>
  <w:num w:numId="4" w16cid:durableId="764031647">
    <w:abstractNumId w:val="33"/>
  </w:num>
  <w:num w:numId="5" w16cid:durableId="941841055">
    <w:abstractNumId w:val="41"/>
  </w:num>
  <w:num w:numId="6" w16cid:durableId="1583756430">
    <w:abstractNumId w:val="19"/>
  </w:num>
  <w:num w:numId="7" w16cid:durableId="1628855747">
    <w:abstractNumId w:val="16"/>
  </w:num>
  <w:num w:numId="8" w16cid:durableId="1581257911">
    <w:abstractNumId w:val="1"/>
  </w:num>
  <w:num w:numId="9" w16cid:durableId="1779835487">
    <w:abstractNumId w:val="2"/>
  </w:num>
  <w:num w:numId="10" w16cid:durableId="920917211">
    <w:abstractNumId w:val="12"/>
  </w:num>
  <w:num w:numId="11" w16cid:durableId="1668485436">
    <w:abstractNumId w:val="31"/>
  </w:num>
  <w:num w:numId="12" w16cid:durableId="181669609">
    <w:abstractNumId w:val="32"/>
  </w:num>
  <w:num w:numId="13" w16cid:durableId="1749885825">
    <w:abstractNumId w:val="40"/>
  </w:num>
  <w:num w:numId="14" w16cid:durableId="276302035">
    <w:abstractNumId w:val="46"/>
  </w:num>
  <w:num w:numId="15" w16cid:durableId="818883266">
    <w:abstractNumId w:val="25"/>
  </w:num>
  <w:num w:numId="16" w16cid:durableId="1715689987">
    <w:abstractNumId w:val="42"/>
  </w:num>
  <w:num w:numId="17" w16cid:durableId="836337608">
    <w:abstractNumId w:val="5"/>
  </w:num>
  <w:num w:numId="18" w16cid:durableId="2104764159">
    <w:abstractNumId w:val="8"/>
  </w:num>
  <w:num w:numId="19" w16cid:durableId="876548312">
    <w:abstractNumId w:val="38"/>
  </w:num>
  <w:num w:numId="20" w16cid:durableId="1603605334">
    <w:abstractNumId w:val="17"/>
  </w:num>
  <w:num w:numId="21" w16cid:durableId="713507571">
    <w:abstractNumId w:val="7"/>
  </w:num>
  <w:num w:numId="22" w16cid:durableId="650211910">
    <w:abstractNumId w:val="26"/>
  </w:num>
  <w:num w:numId="23" w16cid:durableId="1958945801">
    <w:abstractNumId w:val="45"/>
  </w:num>
  <w:num w:numId="24" w16cid:durableId="528756863">
    <w:abstractNumId w:val="6"/>
  </w:num>
  <w:num w:numId="25" w16cid:durableId="455609949">
    <w:abstractNumId w:val="13"/>
  </w:num>
  <w:num w:numId="26" w16cid:durableId="1865484709">
    <w:abstractNumId w:val="15"/>
  </w:num>
  <w:num w:numId="27" w16cid:durableId="537427685">
    <w:abstractNumId w:val="0"/>
  </w:num>
  <w:num w:numId="28" w16cid:durableId="423494888">
    <w:abstractNumId w:val="35"/>
  </w:num>
  <w:num w:numId="29" w16cid:durableId="1675764481">
    <w:abstractNumId w:val="14"/>
  </w:num>
  <w:num w:numId="30" w16cid:durableId="64569135">
    <w:abstractNumId w:val="4"/>
  </w:num>
  <w:num w:numId="31" w16cid:durableId="475535588">
    <w:abstractNumId w:val="39"/>
  </w:num>
  <w:num w:numId="32" w16cid:durableId="782191672">
    <w:abstractNumId w:val="29"/>
  </w:num>
  <w:num w:numId="33" w16cid:durableId="1510679432">
    <w:abstractNumId w:val="24"/>
  </w:num>
  <w:num w:numId="34" w16cid:durableId="1912235038">
    <w:abstractNumId w:val="28"/>
  </w:num>
  <w:num w:numId="35" w16cid:durableId="1226380040">
    <w:abstractNumId w:val="23"/>
  </w:num>
  <w:num w:numId="36" w16cid:durableId="1085570105">
    <w:abstractNumId w:val="21"/>
  </w:num>
  <w:num w:numId="37" w16cid:durableId="151798293">
    <w:abstractNumId w:val="10"/>
  </w:num>
  <w:num w:numId="38" w16cid:durableId="415634888">
    <w:abstractNumId w:val="22"/>
  </w:num>
  <w:num w:numId="39" w16cid:durableId="762577756">
    <w:abstractNumId w:val="18"/>
  </w:num>
  <w:num w:numId="40" w16cid:durableId="1225987413">
    <w:abstractNumId w:val="37"/>
  </w:num>
  <w:num w:numId="41" w16cid:durableId="731854087">
    <w:abstractNumId w:val="43"/>
  </w:num>
  <w:num w:numId="42" w16cid:durableId="766272141">
    <w:abstractNumId w:val="47"/>
  </w:num>
  <w:num w:numId="43" w16cid:durableId="1918859461">
    <w:abstractNumId w:val="20"/>
  </w:num>
  <w:num w:numId="44" w16cid:durableId="1650597940">
    <w:abstractNumId w:val="34"/>
  </w:num>
  <w:num w:numId="45" w16cid:durableId="123737537">
    <w:abstractNumId w:val="9"/>
  </w:num>
  <w:num w:numId="46" w16cid:durableId="707874584">
    <w:abstractNumId w:val="44"/>
  </w:num>
  <w:num w:numId="47" w16cid:durableId="1672368061">
    <w:abstractNumId w:val="11"/>
  </w:num>
  <w:num w:numId="48" w16cid:durableId="14524297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5CCA"/>
    <w:rsid w:val="000160DF"/>
    <w:rsid w:val="00016D4B"/>
    <w:rsid w:val="00017CAA"/>
    <w:rsid w:val="00022373"/>
    <w:rsid w:val="00024C38"/>
    <w:rsid w:val="00025665"/>
    <w:rsid w:val="00026CB6"/>
    <w:rsid w:val="0003105E"/>
    <w:rsid w:val="00031283"/>
    <w:rsid w:val="0003165A"/>
    <w:rsid w:val="000339A3"/>
    <w:rsid w:val="00035EBC"/>
    <w:rsid w:val="00037A60"/>
    <w:rsid w:val="000454C1"/>
    <w:rsid w:val="00045E1F"/>
    <w:rsid w:val="0005176B"/>
    <w:rsid w:val="0005192E"/>
    <w:rsid w:val="00051D03"/>
    <w:rsid w:val="0005609F"/>
    <w:rsid w:val="00056BFD"/>
    <w:rsid w:val="00060D24"/>
    <w:rsid w:val="000619DE"/>
    <w:rsid w:val="00063242"/>
    <w:rsid w:val="00066D2A"/>
    <w:rsid w:val="000676D4"/>
    <w:rsid w:val="00067B06"/>
    <w:rsid w:val="00067E67"/>
    <w:rsid w:val="000717F7"/>
    <w:rsid w:val="00072197"/>
    <w:rsid w:val="00072651"/>
    <w:rsid w:val="000731E6"/>
    <w:rsid w:val="00074B83"/>
    <w:rsid w:val="000754B4"/>
    <w:rsid w:val="00075FF4"/>
    <w:rsid w:val="000803AD"/>
    <w:rsid w:val="000812A1"/>
    <w:rsid w:val="00081F51"/>
    <w:rsid w:val="000854AE"/>
    <w:rsid w:val="00086215"/>
    <w:rsid w:val="00086F41"/>
    <w:rsid w:val="00090658"/>
    <w:rsid w:val="00091A4F"/>
    <w:rsid w:val="00093FB2"/>
    <w:rsid w:val="000945E9"/>
    <w:rsid w:val="000A11D1"/>
    <w:rsid w:val="000A158B"/>
    <w:rsid w:val="000A311A"/>
    <w:rsid w:val="000A3F19"/>
    <w:rsid w:val="000A51DE"/>
    <w:rsid w:val="000A7978"/>
    <w:rsid w:val="000B3CC4"/>
    <w:rsid w:val="000B64F8"/>
    <w:rsid w:val="000C0A30"/>
    <w:rsid w:val="000C1591"/>
    <w:rsid w:val="000C2FD4"/>
    <w:rsid w:val="000C3AC2"/>
    <w:rsid w:val="000D3CA2"/>
    <w:rsid w:val="000D5052"/>
    <w:rsid w:val="000E2B80"/>
    <w:rsid w:val="000E3819"/>
    <w:rsid w:val="000E5D82"/>
    <w:rsid w:val="000F0723"/>
    <w:rsid w:val="000F18D1"/>
    <w:rsid w:val="000F6C6E"/>
    <w:rsid w:val="001044EC"/>
    <w:rsid w:val="00104C5E"/>
    <w:rsid w:val="00105653"/>
    <w:rsid w:val="0010572E"/>
    <w:rsid w:val="00112C30"/>
    <w:rsid w:val="00112E42"/>
    <w:rsid w:val="001164FA"/>
    <w:rsid w:val="001217DD"/>
    <w:rsid w:val="00121F13"/>
    <w:rsid w:val="00121FE1"/>
    <w:rsid w:val="00123DCB"/>
    <w:rsid w:val="00124E4E"/>
    <w:rsid w:val="001251A9"/>
    <w:rsid w:val="001271F8"/>
    <w:rsid w:val="001324D5"/>
    <w:rsid w:val="00133413"/>
    <w:rsid w:val="00141A01"/>
    <w:rsid w:val="00151BDD"/>
    <w:rsid w:val="00153049"/>
    <w:rsid w:val="00154B17"/>
    <w:rsid w:val="00157AAF"/>
    <w:rsid w:val="00167F2F"/>
    <w:rsid w:val="00170A86"/>
    <w:rsid w:val="001717EB"/>
    <w:rsid w:val="001726A6"/>
    <w:rsid w:val="00172A26"/>
    <w:rsid w:val="0017442A"/>
    <w:rsid w:val="00174938"/>
    <w:rsid w:val="00175DA0"/>
    <w:rsid w:val="00175F6E"/>
    <w:rsid w:val="00181B3D"/>
    <w:rsid w:val="00183D3F"/>
    <w:rsid w:val="0019424B"/>
    <w:rsid w:val="00194513"/>
    <w:rsid w:val="00196264"/>
    <w:rsid w:val="00196EBD"/>
    <w:rsid w:val="00197FA5"/>
    <w:rsid w:val="001A346C"/>
    <w:rsid w:val="001A45AA"/>
    <w:rsid w:val="001B236B"/>
    <w:rsid w:val="001B443E"/>
    <w:rsid w:val="001B71DB"/>
    <w:rsid w:val="001B74D4"/>
    <w:rsid w:val="001C210D"/>
    <w:rsid w:val="001C3341"/>
    <w:rsid w:val="001C4694"/>
    <w:rsid w:val="001C730C"/>
    <w:rsid w:val="001D0426"/>
    <w:rsid w:val="001D070B"/>
    <w:rsid w:val="001D2A37"/>
    <w:rsid w:val="001D2BE0"/>
    <w:rsid w:val="001D5641"/>
    <w:rsid w:val="001D7190"/>
    <w:rsid w:val="001E0610"/>
    <w:rsid w:val="001E3301"/>
    <w:rsid w:val="001E3EFD"/>
    <w:rsid w:val="001F01B8"/>
    <w:rsid w:val="001F0D09"/>
    <w:rsid w:val="001F0F7A"/>
    <w:rsid w:val="001F298F"/>
    <w:rsid w:val="001F33C6"/>
    <w:rsid w:val="001F51C8"/>
    <w:rsid w:val="00203B12"/>
    <w:rsid w:val="00204C60"/>
    <w:rsid w:val="00204F34"/>
    <w:rsid w:val="00206043"/>
    <w:rsid w:val="00213962"/>
    <w:rsid w:val="002145F2"/>
    <w:rsid w:val="00220DB8"/>
    <w:rsid w:val="00225C3A"/>
    <w:rsid w:val="00226EC6"/>
    <w:rsid w:val="00226FD0"/>
    <w:rsid w:val="00232167"/>
    <w:rsid w:val="0023383B"/>
    <w:rsid w:val="00233850"/>
    <w:rsid w:val="00233DE0"/>
    <w:rsid w:val="00235EE6"/>
    <w:rsid w:val="00241DA8"/>
    <w:rsid w:val="00244783"/>
    <w:rsid w:val="00246EF5"/>
    <w:rsid w:val="0024743B"/>
    <w:rsid w:val="0025163D"/>
    <w:rsid w:val="00251CD0"/>
    <w:rsid w:val="00253640"/>
    <w:rsid w:val="00253F24"/>
    <w:rsid w:val="00254010"/>
    <w:rsid w:val="0025451E"/>
    <w:rsid w:val="002620A9"/>
    <w:rsid w:val="00262138"/>
    <w:rsid w:val="00263552"/>
    <w:rsid w:val="00265AD9"/>
    <w:rsid w:val="00265E26"/>
    <w:rsid w:val="00271A85"/>
    <w:rsid w:val="002750B9"/>
    <w:rsid w:val="0027623B"/>
    <w:rsid w:val="00282EA8"/>
    <w:rsid w:val="00283334"/>
    <w:rsid w:val="00284EE5"/>
    <w:rsid w:val="00290FD7"/>
    <w:rsid w:val="002943AD"/>
    <w:rsid w:val="0029517A"/>
    <w:rsid w:val="0029693D"/>
    <w:rsid w:val="002A3DDC"/>
    <w:rsid w:val="002A5EB8"/>
    <w:rsid w:val="002B13DA"/>
    <w:rsid w:val="002B3BF8"/>
    <w:rsid w:val="002B4F73"/>
    <w:rsid w:val="002B7929"/>
    <w:rsid w:val="002B7E22"/>
    <w:rsid w:val="002C13CB"/>
    <w:rsid w:val="002C6EF8"/>
    <w:rsid w:val="002D0BD7"/>
    <w:rsid w:val="002D4100"/>
    <w:rsid w:val="002D52F5"/>
    <w:rsid w:val="002D5CE8"/>
    <w:rsid w:val="002D6F4E"/>
    <w:rsid w:val="002D6FE0"/>
    <w:rsid w:val="002E0BB0"/>
    <w:rsid w:val="002E0DE0"/>
    <w:rsid w:val="002E1D13"/>
    <w:rsid w:val="002F3B5C"/>
    <w:rsid w:val="002F63CF"/>
    <w:rsid w:val="00300E2B"/>
    <w:rsid w:val="00305799"/>
    <w:rsid w:val="003075EE"/>
    <w:rsid w:val="003135F4"/>
    <w:rsid w:val="0031630F"/>
    <w:rsid w:val="00317C21"/>
    <w:rsid w:val="003213A8"/>
    <w:rsid w:val="00324719"/>
    <w:rsid w:val="003258B2"/>
    <w:rsid w:val="0032655B"/>
    <w:rsid w:val="003326FA"/>
    <w:rsid w:val="00333320"/>
    <w:rsid w:val="003348A2"/>
    <w:rsid w:val="003356EF"/>
    <w:rsid w:val="00343503"/>
    <w:rsid w:val="0034477A"/>
    <w:rsid w:val="00344B26"/>
    <w:rsid w:val="00344F31"/>
    <w:rsid w:val="00346016"/>
    <w:rsid w:val="0034640E"/>
    <w:rsid w:val="00352B4D"/>
    <w:rsid w:val="00356B44"/>
    <w:rsid w:val="00360213"/>
    <w:rsid w:val="00363C24"/>
    <w:rsid w:val="00364EC5"/>
    <w:rsid w:val="00367E38"/>
    <w:rsid w:val="003713DA"/>
    <w:rsid w:val="00371FE4"/>
    <w:rsid w:val="003723E1"/>
    <w:rsid w:val="00373034"/>
    <w:rsid w:val="00375163"/>
    <w:rsid w:val="003760AF"/>
    <w:rsid w:val="00376B51"/>
    <w:rsid w:val="00376DA0"/>
    <w:rsid w:val="00380006"/>
    <w:rsid w:val="0038516C"/>
    <w:rsid w:val="00385D8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5235"/>
    <w:rsid w:val="003B74C5"/>
    <w:rsid w:val="003C1F46"/>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05E26"/>
    <w:rsid w:val="0041144B"/>
    <w:rsid w:val="004144DC"/>
    <w:rsid w:val="00422A8D"/>
    <w:rsid w:val="00423D77"/>
    <w:rsid w:val="00424B8F"/>
    <w:rsid w:val="004268F1"/>
    <w:rsid w:val="0042697A"/>
    <w:rsid w:val="00430C07"/>
    <w:rsid w:val="00431132"/>
    <w:rsid w:val="004320E0"/>
    <w:rsid w:val="00433A67"/>
    <w:rsid w:val="00437832"/>
    <w:rsid w:val="00442439"/>
    <w:rsid w:val="00444321"/>
    <w:rsid w:val="00445216"/>
    <w:rsid w:val="004454E4"/>
    <w:rsid w:val="004500CC"/>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4993"/>
    <w:rsid w:val="004D7AE2"/>
    <w:rsid w:val="004D7BF2"/>
    <w:rsid w:val="004E05EB"/>
    <w:rsid w:val="004E1AF3"/>
    <w:rsid w:val="004E4387"/>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75A5"/>
    <w:rsid w:val="0051497C"/>
    <w:rsid w:val="00516B27"/>
    <w:rsid w:val="005221D1"/>
    <w:rsid w:val="005241E0"/>
    <w:rsid w:val="00525761"/>
    <w:rsid w:val="0052684B"/>
    <w:rsid w:val="00526C15"/>
    <w:rsid w:val="00533F98"/>
    <w:rsid w:val="0053583E"/>
    <w:rsid w:val="00535AA7"/>
    <w:rsid w:val="0054089A"/>
    <w:rsid w:val="00543B96"/>
    <w:rsid w:val="0055403C"/>
    <w:rsid w:val="00555503"/>
    <w:rsid w:val="00556D44"/>
    <w:rsid w:val="005628D0"/>
    <w:rsid w:val="00562FA4"/>
    <w:rsid w:val="0056401C"/>
    <w:rsid w:val="00564EC3"/>
    <w:rsid w:val="0057036B"/>
    <w:rsid w:val="00572070"/>
    <w:rsid w:val="0057302A"/>
    <w:rsid w:val="00582E98"/>
    <w:rsid w:val="005843A0"/>
    <w:rsid w:val="00586927"/>
    <w:rsid w:val="00587009"/>
    <w:rsid w:val="00587A0D"/>
    <w:rsid w:val="005935DC"/>
    <w:rsid w:val="00594EBE"/>
    <w:rsid w:val="00595ED2"/>
    <w:rsid w:val="00597244"/>
    <w:rsid w:val="005A4390"/>
    <w:rsid w:val="005B0F67"/>
    <w:rsid w:val="005B1694"/>
    <w:rsid w:val="005B3DB3"/>
    <w:rsid w:val="005B45F2"/>
    <w:rsid w:val="005C0417"/>
    <w:rsid w:val="005C084A"/>
    <w:rsid w:val="005C4079"/>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038B"/>
    <w:rsid w:val="00613E3C"/>
    <w:rsid w:val="00615B46"/>
    <w:rsid w:val="0062209C"/>
    <w:rsid w:val="006230CA"/>
    <w:rsid w:val="00627E3B"/>
    <w:rsid w:val="006312D2"/>
    <w:rsid w:val="006350E8"/>
    <w:rsid w:val="00635DD2"/>
    <w:rsid w:val="0064045B"/>
    <w:rsid w:val="00641F65"/>
    <w:rsid w:val="00642E63"/>
    <w:rsid w:val="006432EE"/>
    <w:rsid w:val="00645857"/>
    <w:rsid w:val="00655EB3"/>
    <w:rsid w:val="0065781C"/>
    <w:rsid w:val="00657A0E"/>
    <w:rsid w:val="00661670"/>
    <w:rsid w:val="006637BC"/>
    <w:rsid w:val="006647FC"/>
    <w:rsid w:val="006648FD"/>
    <w:rsid w:val="006666F7"/>
    <w:rsid w:val="00666BB7"/>
    <w:rsid w:val="00670AD5"/>
    <w:rsid w:val="006726C0"/>
    <w:rsid w:val="006726FC"/>
    <w:rsid w:val="00673A0C"/>
    <w:rsid w:val="00675968"/>
    <w:rsid w:val="00680B99"/>
    <w:rsid w:val="00680BB2"/>
    <w:rsid w:val="00682AC5"/>
    <w:rsid w:val="00682D12"/>
    <w:rsid w:val="0068332A"/>
    <w:rsid w:val="006854E1"/>
    <w:rsid w:val="00685999"/>
    <w:rsid w:val="00686EBD"/>
    <w:rsid w:val="006949BC"/>
    <w:rsid w:val="006954B0"/>
    <w:rsid w:val="006A1A26"/>
    <w:rsid w:val="006A32AA"/>
    <w:rsid w:val="006A46AF"/>
    <w:rsid w:val="006A50CA"/>
    <w:rsid w:val="006A5B59"/>
    <w:rsid w:val="006A6A82"/>
    <w:rsid w:val="006B5D09"/>
    <w:rsid w:val="006B763B"/>
    <w:rsid w:val="006B7D9A"/>
    <w:rsid w:val="006B7FDD"/>
    <w:rsid w:val="006C2153"/>
    <w:rsid w:val="006C24B4"/>
    <w:rsid w:val="006C366A"/>
    <w:rsid w:val="006C425A"/>
    <w:rsid w:val="006C6894"/>
    <w:rsid w:val="006D39AB"/>
    <w:rsid w:val="006E039B"/>
    <w:rsid w:val="006E20AC"/>
    <w:rsid w:val="006E3153"/>
    <w:rsid w:val="006E431E"/>
    <w:rsid w:val="006E6F78"/>
    <w:rsid w:val="006F3FD1"/>
    <w:rsid w:val="006F4E86"/>
    <w:rsid w:val="0070014D"/>
    <w:rsid w:val="00701BDF"/>
    <w:rsid w:val="00703AA3"/>
    <w:rsid w:val="00704AE3"/>
    <w:rsid w:val="00706222"/>
    <w:rsid w:val="00706B59"/>
    <w:rsid w:val="00706FBD"/>
    <w:rsid w:val="00707D4C"/>
    <w:rsid w:val="007101A6"/>
    <w:rsid w:val="007101B3"/>
    <w:rsid w:val="00711A9F"/>
    <w:rsid w:val="00711B47"/>
    <w:rsid w:val="00713D9B"/>
    <w:rsid w:val="00716498"/>
    <w:rsid w:val="00721499"/>
    <w:rsid w:val="00721966"/>
    <w:rsid w:val="00721984"/>
    <w:rsid w:val="00722987"/>
    <w:rsid w:val="00722FEB"/>
    <w:rsid w:val="00724641"/>
    <w:rsid w:val="00726C4C"/>
    <w:rsid w:val="00727CDC"/>
    <w:rsid w:val="007314DB"/>
    <w:rsid w:val="00732F54"/>
    <w:rsid w:val="00740287"/>
    <w:rsid w:val="007404B7"/>
    <w:rsid w:val="00740FED"/>
    <w:rsid w:val="00742191"/>
    <w:rsid w:val="007543B2"/>
    <w:rsid w:val="00754661"/>
    <w:rsid w:val="00754BBF"/>
    <w:rsid w:val="00755017"/>
    <w:rsid w:val="00756BE4"/>
    <w:rsid w:val="007611C1"/>
    <w:rsid w:val="00761EAA"/>
    <w:rsid w:val="00761EC1"/>
    <w:rsid w:val="00764175"/>
    <w:rsid w:val="007658AB"/>
    <w:rsid w:val="00765AE8"/>
    <w:rsid w:val="007679B4"/>
    <w:rsid w:val="0077080D"/>
    <w:rsid w:val="00773043"/>
    <w:rsid w:val="00774416"/>
    <w:rsid w:val="00774544"/>
    <w:rsid w:val="0077504B"/>
    <w:rsid w:val="007757E8"/>
    <w:rsid w:val="00776C99"/>
    <w:rsid w:val="0078052F"/>
    <w:rsid w:val="0078227D"/>
    <w:rsid w:val="007834AC"/>
    <w:rsid w:val="00785715"/>
    <w:rsid w:val="00785EF1"/>
    <w:rsid w:val="00786038"/>
    <w:rsid w:val="00786889"/>
    <w:rsid w:val="00786B20"/>
    <w:rsid w:val="00786BB5"/>
    <w:rsid w:val="00790A8D"/>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7257"/>
    <w:rsid w:val="007C7D64"/>
    <w:rsid w:val="007D19FF"/>
    <w:rsid w:val="007D47F3"/>
    <w:rsid w:val="007D726B"/>
    <w:rsid w:val="007E14DC"/>
    <w:rsid w:val="007E1B14"/>
    <w:rsid w:val="007E30B6"/>
    <w:rsid w:val="007E3D7C"/>
    <w:rsid w:val="007E7D09"/>
    <w:rsid w:val="007F12C2"/>
    <w:rsid w:val="007F1401"/>
    <w:rsid w:val="007F216B"/>
    <w:rsid w:val="007F4894"/>
    <w:rsid w:val="00801082"/>
    <w:rsid w:val="00805B51"/>
    <w:rsid w:val="00810A25"/>
    <w:rsid w:val="00812139"/>
    <w:rsid w:val="008135CE"/>
    <w:rsid w:val="00813870"/>
    <w:rsid w:val="00814A74"/>
    <w:rsid w:val="00814A8C"/>
    <w:rsid w:val="00814B93"/>
    <w:rsid w:val="00821FE5"/>
    <w:rsid w:val="008221C9"/>
    <w:rsid w:val="00825382"/>
    <w:rsid w:val="008258F0"/>
    <w:rsid w:val="00826FA6"/>
    <w:rsid w:val="00827D1F"/>
    <w:rsid w:val="00831266"/>
    <w:rsid w:val="00832EEC"/>
    <w:rsid w:val="00833D2B"/>
    <w:rsid w:val="00836869"/>
    <w:rsid w:val="00841175"/>
    <w:rsid w:val="0084209F"/>
    <w:rsid w:val="0084420F"/>
    <w:rsid w:val="0085247F"/>
    <w:rsid w:val="00853945"/>
    <w:rsid w:val="00854ADB"/>
    <w:rsid w:val="00854D8A"/>
    <w:rsid w:val="00855049"/>
    <w:rsid w:val="00855926"/>
    <w:rsid w:val="00860572"/>
    <w:rsid w:val="0086083D"/>
    <w:rsid w:val="00861F0C"/>
    <w:rsid w:val="008629B9"/>
    <w:rsid w:val="00862DE6"/>
    <w:rsid w:val="0086552F"/>
    <w:rsid w:val="00866DF8"/>
    <w:rsid w:val="00866E15"/>
    <w:rsid w:val="0087344C"/>
    <w:rsid w:val="00874BA9"/>
    <w:rsid w:val="0088143B"/>
    <w:rsid w:val="008871F4"/>
    <w:rsid w:val="008962A8"/>
    <w:rsid w:val="0089659D"/>
    <w:rsid w:val="008968E3"/>
    <w:rsid w:val="00897A50"/>
    <w:rsid w:val="008A02D5"/>
    <w:rsid w:val="008A08D2"/>
    <w:rsid w:val="008A31AC"/>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8F3E99"/>
    <w:rsid w:val="00900B3F"/>
    <w:rsid w:val="00900DEE"/>
    <w:rsid w:val="00901206"/>
    <w:rsid w:val="009017CC"/>
    <w:rsid w:val="00902F29"/>
    <w:rsid w:val="0090377D"/>
    <w:rsid w:val="009038A0"/>
    <w:rsid w:val="00904450"/>
    <w:rsid w:val="00911663"/>
    <w:rsid w:val="009149D3"/>
    <w:rsid w:val="00914F9D"/>
    <w:rsid w:val="00917C3E"/>
    <w:rsid w:val="009255B0"/>
    <w:rsid w:val="009260E3"/>
    <w:rsid w:val="009306A2"/>
    <w:rsid w:val="00931767"/>
    <w:rsid w:val="00934C30"/>
    <w:rsid w:val="00935E5E"/>
    <w:rsid w:val="00937DAA"/>
    <w:rsid w:val="0094384C"/>
    <w:rsid w:val="00946361"/>
    <w:rsid w:val="0095059F"/>
    <w:rsid w:val="00952F13"/>
    <w:rsid w:val="00955648"/>
    <w:rsid w:val="009570BB"/>
    <w:rsid w:val="00963E38"/>
    <w:rsid w:val="00966A5B"/>
    <w:rsid w:val="00970BD6"/>
    <w:rsid w:val="00973115"/>
    <w:rsid w:val="00974145"/>
    <w:rsid w:val="009742F7"/>
    <w:rsid w:val="00975A60"/>
    <w:rsid w:val="00975C11"/>
    <w:rsid w:val="009761CB"/>
    <w:rsid w:val="009772C4"/>
    <w:rsid w:val="0098186A"/>
    <w:rsid w:val="009822EF"/>
    <w:rsid w:val="00982C68"/>
    <w:rsid w:val="00987ECA"/>
    <w:rsid w:val="00992DEA"/>
    <w:rsid w:val="00993651"/>
    <w:rsid w:val="00993BDE"/>
    <w:rsid w:val="00995C8C"/>
    <w:rsid w:val="009A05E5"/>
    <w:rsid w:val="009A0B03"/>
    <w:rsid w:val="009A1A41"/>
    <w:rsid w:val="009A32B5"/>
    <w:rsid w:val="009A4869"/>
    <w:rsid w:val="009A5DBF"/>
    <w:rsid w:val="009B0B22"/>
    <w:rsid w:val="009B4161"/>
    <w:rsid w:val="009B5B52"/>
    <w:rsid w:val="009B5D08"/>
    <w:rsid w:val="009C10A8"/>
    <w:rsid w:val="009C1149"/>
    <w:rsid w:val="009C16D7"/>
    <w:rsid w:val="009C7131"/>
    <w:rsid w:val="009D1CB0"/>
    <w:rsid w:val="009D4AAF"/>
    <w:rsid w:val="009D6827"/>
    <w:rsid w:val="009D6C80"/>
    <w:rsid w:val="009D7610"/>
    <w:rsid w:val="009E0A48"/>
    <w:rsid w:val="009E131A"/>
    <w:rsid w:val="009E27D0"/>
    <w:rsid w:val="009E47BF"/>
    <w:rsid w:val="009E5F7C"/>
    <w:rsid w:val="009E6971"/>
    <w:rsid w:val="009F0240"/>
    <w:rsid w:val="009F0C94"/>
    <w:rsid w:val="009F4FD5"/>
    <w:rsid w:val="009F7B13"/>
    <w:rsid w:val="00A00AB7"/>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2721C"/>
    <w:rsid w:val="00A30397"/>
    <w:rsid w:val="00A3091F"/>
    <w:rsid w:val="00A316B9"/>
    <w:rsid w:val="00A326B3"/>
    <w:rsid w:val="00A33763"/>
    <w:rsid w:val="00A349D9"/>
    <w:rsid w:val="00A34FE4"/>
    <w:rsid w:val="00A3503E"/>
    <w:rsid w:val="00A44CF8"/>
    <w:rsid w:val="00A459FF"/>
    <w:rsid w:val="00A46767"/>
    <w:rsid w:val="00A473BC"/>
    <w:rsid w:val="00A5063A"/>
    <w:rsid w:val="00A52014"/>
    <w:rsid w:val="00A52B1A"/>
    <w:rsid w:val="00A543C3"/>
    <w:rsid w:val="00A543E4"/>
    <w:rsid w:val="00A57645"/>
    <w:rsid w:val="00A64C08"/>
    <w:rsid w:val="00A723A6"/>
    <w:rsid w:val="00A74930"/>
    <w:rsid w:val="00A749BE"/>
    <w:rsid w:val="00A75237"/>
    <w:rsid w:val="00A77060"/>
    <w:rsid w:val="00A77809"/>
    <w:rsid w:val="00A8041D"/>
    <w:rsid w:val="00A80F61"/>
    <w:rsid w:val="00A85FA0"/>
    <w:rsid w:val="00A90CEB"/>
    <w:rsid w:val="00A93BCD"/>
    <w:rsid w:val="00A96A3B"/>
    <w:rsid w:val="00AA17F2"/>
    <w:rsid w:val="00AA335E"/>
    <w:rsid w:val="00AA453B"/>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3ED7"/>
    <w:rsid w:val="00AD40C4"/>
    <w:rsid w:val="00AD45BB"/>
    <w:rsid w:val="00AE0846"/>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1BFD"/>
    <w:rsid w:val="00B25C52"/>
    <w:rsid w:val="00B25F3C"/>
    <w:rsid w:val="00B27225"/>
    <w:rsid w:val="00B32C03"/>
    <w:rsid w:val="00B33BD6"/>
    <w:rsid w:val="00B346E4"/>
    <w:rsid w:val="00B347E5"/>
    <w:rsid w:val="00B34F39"/>
    <w:rsid w:val="00B359EF"/>
    <w:rsid w:val="00B40586"/>
    <w:rsid w:val="00B42004"/>
    <w:rsid w:val="00B43418"/>
    <w:rsid w:val="00B43553"/>
    <w:rsid w:val="00B4540E"/>
    <w:rsid w:val="00B463E3"/>
    <w:rsid w:val="00B46BDE"/>
    <w:rsid w:val="00B471F8"/>
    <w:rsid w:val="00B47C1D"/>
    <w:rsid w:val="00B505AB"/>
    <w:rsid w:val="00B5391E"/>
    <w:rsid w:val="00B5777A"/>
    <w:rsid w:val="00B57E7F"/>
    <w:rsid w:val="00B63C01"/>
    <w:rsid w:val="00B640D6"/>
    <w:rsid w:val="00B7442D"/>
    <w:rsid w:val="00B75504"/>
    <w:rsid w:val="00B75C8F"/>
    <w:rsid w:val="00B768E3"/>
    <w:rsid w:val="00B80598"/>
    <w:rsid w:val="00B821CC"/>
    <w:rsid w:val="00B86A49"/>
    <w:rsid w:val="00B87EA3"/>
    <w:rsid w:val="00B90E24"/>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E71D8"/>
    <w:rsid w:val="00BF1192"/>
    <w:rsid w:val="00BF1FA2"/>
    <w:rsid w:val="00BF22F1"/>
    <w:rsid w:val="00BF234B"/>
    <w:rsid w:val="00BF3112"/>
    <w:rsid w:val="00BF4E2C"/>
    <w:rsid w:val="00C0188B"/>
    <w:rsid w:val="00C02426"/>
    <w:rsid w:val="00C05549"/>
    <w:rsid w:val="00C05908"/>
    <w:rsid w:val="00C05F5F"/>
    <w:rsid w:val="00C107A5"/>
    <w:rsid w:val="00C12177"/>
    <w:rsid w:val="00C121AB"/>
    <w:rsid w:val="00C1345E"/>
    <w:rsid w:val="00C1552F"/>
    <w:rsid w:val="00C16228"/>
    <w:rsid w:val="00C17D55"/>
    <w:rsid w:val="00C20921"/>
    <w:rsid w:val="00C2212A"/>
    <w:rsid w:val="00C305A6"/>
    <w:rsid w:val="00C30F04"/>
    <w:rsid w:val="00C41079"/>
    <w:rsid w:val="00C45742"/>
    <w:rsid w:val="00C50915"/>
    <w:rsid w:val="00C51881"/>
    <w:rsid w:val="00C52E0B"/>
    <w:rsid w:val="00C53689"/>
    <w:rsid w:val="00C551B8"/>
    <w:rsid w:val="00C57069"/>
    <w:rsid w:val="00C579C3"/>
    <w:rsid w:val="00C57F38"/>
    <w:rsid w:val="00C6324A"/>
    <w:rsid w:val="00C66C45"/>
    <w:rsid w:val="00C70935"/>
    <w:rsid w:val="00C72AC5"/>
    <w:rsid w:val="00C7454C"/>
    <w:rsid w:val="00C75D2C"/>
    <w:rsid w:val="00C773CF"/>
    <w:rsid w:val="00C8413D"/>
    <w:rsid w:val="00C84374"/>
    <w:rsid w:val="00C849DD"/>
    <w:rsid w:val="00C8709F"/>
    <w:rsid w:val="00C872C1"/>
    <w:rsid w:val="00C94DF1"/>
    <w:rsid w:val="00C9694E"/>
    <w:rsid w:val="00CA0721"/>
    <w:rsid w:val="00CA5AFE"/>
    <w:rsid w:val="00CA6493"/>
    <w:rsid w:val="00CA67B0"/>
    <w:rsid w:val="00CA6F8C"/>
    <w:rsid w:val="00CB1672"/>
    <w:rsid w:val="00CB5BF2"/>
    <w:rsid w:val="00CB76B9"/>
    <w:rsid w:val="00CC2360"/>
    <w:rsid w:val="00CC4231"/>
    <w:rsid w:val="00CC496B"/>
    <w:rsid w:val="00CC4D3E"/>
    <w:rsid w:val="00CC5FA9"/>
    <w:rsid w:val="00CC7B75"/>
    <w:rsid w:val="00CD1F17"/>
    <w:rsid w:val="00CD1F6F"/>
    <w:rsid w:val="00CD28AC"/>
    <w:rsid w:val="00CD32A7"/>
    <w:rsid w:val="00CD791A"/>
    <w:rsid w:val="00CE1416"/>
    <w:rsid w:val="00CE1AD8"/>
    <w:rsid w:val="00CE2F96"/>
    <w:rsid w:val="00CE3856"/>
    <w:rsid w:val="00CE3C2D"/>
    <w:rsid w:val="00CE5BF4"/>
    <w:rsid w:val="00CE7F01"/>
    <w:rsid w:val="00CF3931"/>
    <w:rsid w:val="00CF4465"/>
    <w:rsid w:val="00CF5F2F"/>
    <w:rsid w:val="00CF650E"/>
    <w:rsid w:val="00CF677C"/>
    <w:rsid w:val="00CF74C0"/>
    <w:rsid w:val="00D015DC"/>
    <w:rsid w:val="00D01A73"/>
    <w:rsid w:val="00D01C9F"/>
    <w:rsid w:val="00D01CF9"/>
    <w:rsid w:val="00D04580"/>
    <w:rsid w:val="00D04CFC"/>
    <w:rsid w:val="00D06470"/>
    <w:rsid w:val="00D06696"/>
    <w:rsid w:val="00D0741D"/>
    <w:rsid w:val="00D107F3"/>
    <w:rsid w:val="00D11C9C"/>
    <w:rsid w:val="00D1525E"/>
    <w:rsid w:val="00D20C61"/>
    <w:rsid w:val="00D22CF4"/>
    <w:rsid w:val="00D22FC8"/>
    <w:rsid w:val="00D239F0"/>
    <w:rsid w:val="00D26DAD"/>
    <w:rsid w:val="00D3166F"/>
    <w:rsid w:val="00D31BE2"/>
    <w:rsid w:val="00D34E0E"/>
    <w:rsid w:val="00D40EAE"/>
    <w:rsid w:val="00D412AB"/>
    <w:rsid w:val="00D445F9"/>
    <w:rsid w:val="00D476F8"/>
    <w:rsid w:val="00D47770"/>
    <w:rsid w:val="00D52E9F"/>
    <w:rsid w:val="00D5386C"/>
    <w:rsid w:val="00D53D09"/>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2F4D"/>
    <w:rsid w:val="00DA4192"/>
    <w:rsid w:val="00DA5119"/>
    <w:rsid w:val="00DA5A4C"/>
    <w:rsid w:val="00DA5AE5"/>
    <w:rsid w:val="00DA5C23"/>
    <w:rsid w:val="00DA7460"/>
    <w:rsid w:val="00DB3A0C"/>
    <w:rsid w:val="00DC0121"/>
    <w:rsid w:val="00DC1738"/>
    <w:rsid w:val="00DC5ABF"/>
    <w:rsid w:val="00DD5045"/>
    <w:rsid w:val="00DD7E20"/>
    <w:rsid w:val="00DE00FB"/>
    <w:rsid w:val="00DE1975"/>
    <w:rsid w:val="00DE2F13"/>
    <w:rsid w:val="00DE3768"/>
    <w:rsid w:val="00DE4CD4"/>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17594"/>
    <w:rsid w:val="00E20089"/>
    <w:rsid w:val="00E20094"/>
    <w:rsid w:val="00E24624"/>
    <w:rsid w:val="00E2620E"/>
    <w:rsid w:val="00E266D7"/>
    <w:rsid w:val="00E267B3"/>
    <w:rsid w:val="00E35359"/>
    <w:rsid w:val="00E35C2D"/>
    <w:rsid w:val="00E36479"/>
    <w:rsid w:val="00E36D48"/>
    <w:rsid w:val="00E377DD"/>
    <w:rsid w:val="00E42632"/>
    <w:rsid w:val="00E4274D"/>
    <w:rsid w:val="00E4571D"/>
    <w:rsid w:val="00E4592B"/>
    <w:rsid w:val="00E5060A"/>
    <w:rsid w:val="00E55537"/>
    <w:rsid w:val="00E57888"/>
    <w:rsid w:val="00E57A01"/>
    <w:rsid w:val="00E63125"/>
    <w:rsid w:val="00E7045F"/>
    <w:rsid w:val="00E73ED8"/>
    <w:rsid w:val="00E77664"/>
    <w:rsid w:val="00E825CF"/>
    <w:rsid w:val="00E8278C"/>
    <w:rsid w:val="00E864AB"/>
    <w:rsid w:val="00E94017"/>
    <w:rsid w:val="00E944A5"/>
    <w:rsid w:val="00E96BD9"/>
    <w:rsid w:val="00E96F57"/>
    <w:rsid w:val="00EA277B"/>
    <w:rsid w:val="00EA3D20"/>
    <w:rsid w:val="00EA5602"/>
    <w:rsid w:val="00EA63A6"/>
    <w:rsid w:val="00EA7D8E"/>
    <w:rsid w:val="00EB0EF4"/>
    <w:rsid w:val="00EB22F4"/>
    <w:rsid w:val="00EB50B4"/>
    <w:rsid w:val="00EB779D"/>
    <w:rsid w:val="00EC0343"/>
    <w:rsid w:val="00EC1E68"/>
    <w:rsid w:val="00EC21CA"/>
    <w:rsid w:val="00EC6860"/>
    <w:rsid w:val="00ED0F45"/>
    <w:rsid w:val="00ED5D31"/>
    <w:rsid w:val="00EE3AB1"/>
    <w:rsid w:val="00EE633C"/>
    <w:rsid w:val="00EF24BE"/>
    <w:rsid w:val="00EF2848"/>
    <w:rsid w:val="00EF3D4E"/>
    <w:rsid w:val="00EF7925"/>
    <w:rsid w:val="00EF7CA1"/>
    <w:rsid w:val="00F00973"/>
    <w:rsid w:val="00F00E86"/>
    <w:rsid w:val="00F00ECE"/>
    <w:rsid w:val="00F01BFC"/>
    <w:rsid w:val="00F01F9B"/>
    <w:rsid w:val="00F02CA9"/>
    <w:rsid w:val="00F04BBF"/>
    <w:rsid w:val="00F04F9A"/>
    <w:rsid w:val="00F11897"/>
    <w:rsid w:val="00F12EDB"/>
    <w:rsid w:val="00F13D6B"/>
    <w:rsid w:val="00F20781"/>
    <w:rsid w:val="00F20FEC"/>
    <w:rsid w:val="00F22ABB"/>
    <w:rsid w:val="00F23825"/>
    <w:rsid w:val="00F2443E"/>
    <w:rsid w:val="00F25669"/>
    <w:rsid w:val="00F3470C"/>
    <w:rsid w:val="00F3673B"/>
    <w:rsid w:val="00F40751"/>
    <w:rsid w:val="00F41E89"/>
    <w:rsid w:val="00F42DC3"/>
    <w:rsid w:val="00F455A7"/>
    <w:rsid w:val="00F47E92"/>
    <w:rsid w:val="00F52656"/>
    <w:rsid w:val="00F52D61"/>
    <w:rsid w:val="00F558DD"/>
    <w:rsid w:val="00F6061B"/>
    <w:rsid w:val="00F67229"/>
    <w:rsid w:val="00F67385"/>
    <w:rsid w:val="00F70555"/>
    <w:rsid w:val="00F70ADF"/>
    <w:rsid w:val="00F720E3"/>
    <w:rsid w:val="00F728A4"/>
    <w:rsid w:val="00F7740F"/>
    <w:rsid w:val="00F810DF"/>
    <w:rsid w:val="00F90E2B"/>
    <w:rsid w:val="00F90FB6"/>
    <w:rsid w:val="00F925EF"/>
    <w:rsid w:val="00F92DDA"/>
    <w:rsid w:val="00F955C8"/>
    <w:rsid w:val="00FA2FC6"/>
    <w:rsid w:val="00FA5306"/>
    <w:rsid w:val="00FA536C"/>
    <w:rsid w:val="00FA5DB1"/>
    <w:rsid w:val="00FA6F8F"/>
    <w:rsid w:val="00FB0097"/>
    <w:rsid w:val="00FB0C7D"/>
    <w:rsid w:val="00FB1FDB"/>
    <w:rsid w:val="00FB5889"/>
    <w:rsid w:val="00FB5BF7"/>
    <w:rsid w:val="00FC2A9A"/>
    <w:rsid w:val="00FC2C06"/>
    <w:rsid w:val="00FC39DC"/>
    <w:rsid w:val="00FC67A5"/>
    <w:rsid w:val="00FD05E0"/>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149642112">
      <w:bodyDiv w:val="1"/>
      <w:marLeft w:val="0"/>
      <w:marRight w:val="0"/>
      <w:marTop w:val="0"/>
      <w:marBottom w:val="0"/>
      <w:divBdr>
        <w:top w:val="none" w:sz="0" w:space="0" w:color="auto"/>
        <w:left w:val="none" w:sz="0" w:space="0" w:color="auto"/>
        <w:bottom w:val="none" w:sz="0" w:space="0" w:color="auto"/>
        <w:right w:val="none" w:sz="0" w:space="0" w:color="auto"/>
      </w:divBdr>
    </w:div>
    <w:div w:id="157549264">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06627960">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868570615">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05887026">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39254772">
      <w:bodyDiv w:val="1"/>
      <w:marLeft w:val="0"/>
      <w:marRight w:val="0"/>
      <w:marTop w:val="0"/>
      <w:marBottom w:val="0"/>
      <w:divBdr>
        <w:top w:val="none" w:sz="0" w:space="0" w:color="auto"/>
        <w:left w:val="none" w:sz="0" w:space="0" w:color="auto"/>
        <w:bottom w:val="none" w:sz="0" w:space="0" w:color="auto"/>
        <w:right w:val="none" w:sz="0" w:space="0" w:color="auto"/>
      </w:divBdr>
    </w:div>
    <w:div w:id="1447311229">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02562497">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778138677">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43468391">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26856246">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3.xml><?xml version="1.0" encoding="utf-8"?>
<ds:datastoreItem xmlns:ds="http://schemas.openxmlformats.org/officeDocument/2006/customXml" ds:itemID="{6E5E4787-5153-4BDA-9024-FD9F044BC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DDB8B-2B5C-40E1-B61A-9B2F9CD9C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303</cp:revision>
  <dcterms:created xsi:type="dcterms:W3CDTF">2023-03-23T23:03:00Z</dcterms:created>
  <dcterms:modified xsi:type="dcterms:W3CDTF">2024-10-10T21:44:00Z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