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 xml:space="preserve">THIS IS AN EXAMPLE. </w:t>
      </w:r>
      <w:proofErr w:type="gramStart"/>
      <w:r w:rsidRPr="00AF6831">
        <w:rPr>
          <w:rFonts w:ascii="HelveticaNeue-Thin" w:hAnsi="HelveticaNeue-Thin" w:cs="HelveticaNeue-Thin"/>
          <w:b/>
          <w:color w:val="010202"/>
          <w:sz w:val="24"/>
          <w:szCs w:val="24"/>
          <w:highlight w:val="yellow"/>
        </w:rPr>
        <w:t>COMPLETE  YOUR</w:t>
      </w:r>
      <w:proofErr w:type="gramEnd"/>
      <w:r w:rsidRPr="00AF6831">
        <w:rPr>
          <w:rFonts w:ascii="HelveticaNeue-Thin" w:hAnsi="HelveticaNeue-Thin" w:cs="HelveticaNeue-Thin"/>
          <w:b/>
          <w:color w:val="010202"/>
          <w:sz w:val="24"/>
          <w:szCs w:val="24"/>
          <w:highlight w:val="yellow"/>
        </w:rPr>
        <w:t xml:space="preserve">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4780D405"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1A45AA">
        <w:rPr>
          <w:rFonts w:ascii="HelveticaNeue-Thin" w:hAnsi="HelveticaNeue-Thin" w:cs="HelveticaNeue-Thin"/>
          <w:color w:val="010202"/>
          <w:sz w:val="28"/>
          <w:szCs w:val="28"/>
        </w:rPr>
        <w:t>3</w:t>
      </w:r>
      <w:r w:rsidR="001A346C">
        <w:rPr>
          <w:rFonts w:ascii="HelveticaNeue-Thin" w:hAnsi="HelveticaNeue-Thin" w:cs="HelveticaNeue-Thin"/>
          <w:color w:val="010202"/>
          <w:sz w:val="28"/>
          <w:szCs w:val="28"/>
        </w:rPr>
        <w:t>1</w:t>
      </w:r>
      <w:r w:rsidR="004268F1">
        <w:rPr>
          <w:rFonts w:ascii="HelveticaNeue-Thin" w:hAnsi="HelveticaNeue-Thin" w:cs="HelveticaNeue-Thin"/>
          <w:color w:val="010202"/>
          <w:sz w:val="28"/>
          <w:szCs w:val="28"/>
        </w:rPr>
        <w:t xml:space="preserve"> </w:t>
      </w:r>
      <w:r w:rsidR="000D06A7">
        <w:rPr>
          <w:rFonts w:ascii="HelveticaNeue-Thin" w:hAnsi="HelveticaNeue-Thin" w:cs="HelveticaNeue-Thin"/>
          <w:color w:val="010202"/>
          <w:sz w:val="28"/>
          <w:szCs w:val="28"/>
        </w:rPr>
        <w:t>7</w:t>
      </w:r>
      <w:r w:rsidR="003C1F46">
        <w:rPr>
          <w:rFonts w:ascii="HelveticaNeue-Thin" w:hAnsi="HelveticaNeue-Thin" w:cs="HelveticaNeue-Thin"/>
          <w:color w:val="010202"/>
          <w:sz w:val="28"/>
          <w:szCs w:val="28"/>
        </w:rPr>
        <w:t xml:space="preserve"> to 1</w:t>
      </w:r>
      <w:r w:rsidR="000D06A7">
        <w:rPr>
          <w:rFonts w:ascii="HelveticaNeue-Thin" w:hAnsi="HelveticaNeue-Thin" w:cs="HelveticaNeue-Thin"/>
          <w:color w:val="010202"/>
          <w:sz w:val="28"/>
          <w:szCs w:val="28"/>
        </w:rPr>
        <w:t>1</w:t>
      </w:r>
      <w:r w:rsidR="003C1F46">
        <w:rPr>
          <w:rFonts w:ascii="HelveticaNeue-Thin" w:hAnsi="HelveticaNeue-Thin" w:cs="HelveticaNeue-Thin"/>
          <w:color w:val="010202"/>
          <w:sz w:val="28"/>
          <w:szCs w:val="28"/>
        </w:rPr>
        <w:t xml:space="preserve"> </w:t>
      </w:r>
      <w:r w:rsidR="000619DE">
        <w:rPr>
          <w:rFonts w:ascii="HelveticaNeue-Thin" w:hAnsi="HelveticaNeue-Thin" w:cs="HelveticaNeue-Thin"/>
          <w:color w:val="010202"/>
          <w:sz w:val="28"/>
          <w:szCs w:val="28"/>
        </w:rPr>
        <w:t>October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0D06A7">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270D5E5C"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1A346C">
              <w:rPr>
                <w:b/>
              </w:rPr>
              <w:t>6.2.1</w:t>
            </w:r>
          </w:p>
        </w:tc>
        <w:tc>
          <w:tcPr>
            <w:tcW w:w="13467" w:type="dxa"/>
          </w:tcPr>
          <w:p w14:paraId="0A55E0BC" w14:textId="60A99757" w:rsidR="00075FF4" w:rsidRPr="00A74930" w:rsidRDefault="009260E3" w:rsidP="001A346C">
            <w:pPr>
              <w:spacing w:after="0"/>
            </w:pPr>
            <w:r w:rsidRPr="009260E3">
              <w:rPr>
                <w:rFonts w:cs="Calibri"/>
                <w:b/>
                <w:bCs/>
                <w:color w:val="221E1F"/>
              </w:rPr>
              <w:t>Transitions</w:t>
            </w:r>
            <w:r w:rsidR="006071EE" w:rsidRPr="006071EE">
              <w:rPr>
                <w:rFonts w:cs="Calibri"/>
                <w:b/>
                <w:bCs/>
                <w:color w:val="221E1F"/>
              </w:rPr>
              <w:br/>
            </w:r>
            <w:r w:rsidR="001A346C" w:rsidRPr="004B2189">
              <w:t>Continuity of learning and transitions for each child are supported by sharing information and clarifying responsibilities.</w:t>
            </w:r>
          </w:p>
        </w:tc>
      </w:tr>
      <w:tr w:rsidR="00533F98" w:rsidRPr="005025C5" w14:paraId="38D4BBA2" w14:textId="77777777">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FFFFFF"/>
          </w:tcPr>
          <w:p w14:paraId="6AD63FEB" w14:textId="77777777" w:rsidR="00997052" w:rsidRDefault="00AB2C41" w:rsidP="00997052">
            <w:pPr>
              <w:spacing w:after="0"/>
            </w:pPr>
            <w:r w:rsidRPr="00D606FF">
              <w:rPr>
                <w:b/>
                <w:bCs/>
                <w:lang w:val="en-US"/>
              </w:rPr>
              <w:t>MEETING</w:t>
            </w:r>
            <w:r w:rsidR="000C1591">
              <w:rPr>
                <w:b/>
                <w:bCs/>
                <w:lang w:val="en-US"/>
              </w:rPr>
              <w:t xml:space="preserve"> - </w:t>
            </w:r>
            <w:r w:rsidR="00997052">
              <w:t>Service practices for transitioning to new groups or rooms: Our service ensures smooth transitions by introducing children to new educators and environments early. Two weeks prior, we discuss the upcoming move positively, refer to new educators in conversations, and schedule visits to the new room. Parents are included in these visits, fostering familiarity. Educators visit children in their current room to build rapport, creating a sense of security and easing anxiety.</w:t>
            </w:r>
          </w:p>
          <w:p w14:paraId="385F0B83" w14:textId="77777777" w:rsidR="00997052" w:rsidRDefault="00997052" w:rsidP="00997052">
            <w:pPr>
              <w:spacing w:after="0"/>
            </w:pPr>
          </w:p>
          <w:p w14:paraId="31498538" w14:textId="77777777" w:rsidR="00997052" w:rsidRDefault="00997052" w:rsidP="00997052">
            <w:pPr>
              <w:spacing w:after="0"/>
            </w:pPr>
            <w:r>
              <w:t>Supporting children during unexpected transitions or casual bookings: When children arrive unexpectedly, educators welcome them by using their name, introducing them to the group, and inviting them into ongoing activities. We ask the child and their family about their interests and strengths, incorporating these into the day if possible. If the child has experienced a traumatic event, additional comfort is provided. Continuous monitoring ensures the child feels safe and supported, and parents are consulted for any additional needs.</w:t>
            </w:r>
          </w:p>
          <w:p w14:paraId="6C888D02" w14:textId="77777777" w:rsidR="00997052" w:rsidRDefault="00997052" w:rsidP="00997052">
            <w:pPr>
              <w:spacing w:after="0"/>
            </w:pPr>
          </w:p>
          <w:p w14:paraId="0C683363" w14:textId="4D96737F" w:rsidR="00375163" w:rsidRDefault="00997052" w:rsidP="00997052">
            <w:pPr>
              <w:spacing w:after="0"/>
            </w:pPr>
            <w:r>
              <w:t>Communication about child absence or illness: To ensure all educators are informed when a child is absent due to illness or other reasons, our service has a communication chain where parents notify the front office or designated contact. This information is passed on to all relevant educators. If a child is absent without notice, the service follows up with the family to confirm their well-being. Educators are updated via communication platforms to ensure the child's group knows the reason for the absence.</w:t>
            </w:r>
          </w:p>
          <w:p w14:paraId="1C1B04EE" w14:textId="54FB7C1A" w:rsidR="00AB2C41" w:rsidRPr="00AB2C41" w:rsidRDefault="00AB2C41" w:rsidP="00C70935">
            <w:pPr>
              <w:spacing w:after="0" w:line="240" w:lineRule="auto"/>
              <w:rPr>
                <w:b/>
                <w:bCs/>
              </w:rPr>
            </w:pPr>
            <w:r w:rsidRPr="00AB2C41">
              <w:rPr>
                <w:b/>
                <w:bCs/>
              </w:rPr>
              <w:t>EXCEEDING</w:t>
            </w:r>
          </w:p>
          <w:p w14:paraId="20F10126" w14:textId="77777777" w:rsidR="00ED31CF" w:rsidRDefault="00AB2C41" w:rsidP="00F80178">
            <w:pPr>
              <w:shd w:val="clear" w:color="auto" w:fill="FFFFFF" w:themeFill="background1"/>
              <w:spacing w:after="0"/>
            </w:pPr>
            <w:r w:rsidRPr="00AB2C41">
              <w:rPr>
                <w:b/>
                <w:bCs/>
              </w:rPr>
              <w:t>Embedded practice -</w:t>
            </w:r>
            <w:r>
              <w:t xml:space="preserve"> </w:t>
            </w:r>
            <w:r w:rsidR="00ED31CF" w:rsidRPr="00435B4A">
              <w:t>Clarifying responsibilities and collaborating with families and educators: Our team promotes continuity of learning by creating collaborative partnerships with families and new educators. Before transitions, we hold meetings with families to share detailed reports about the child’s progress, strengths, and interests. New educators are introduced early, and joint visits with families are arranged to familiarise children with the new environment. We ensure that responsibilities are clear, and everyone knows their role in supporting the child.</w:t>
            </w:r>
          </w:p>
          <w:p w14:paraId="085AD053" w14:textId="58C5E3D9" w:rsidR="00EF2848" w:rsidRPr="00EE6E5A" w:rsidRDefault="00EF2848" w:rsidP="00C70935">
            <w:pPr>
              <w:spacing w:after="0"/>
            </w:pPr>
          </w:p>
          <w:p w14:paraId="3686408F" w14:textId="0C6495A4" w:rsidR="00344F31" w:rsidRPr="00731EBA" w:rsidRDefault="00AB2C41">
            <w:pPr>
              <w:shd w:val="clear" w:color="auto" w:fill="FFFFFF"/>
              <w:spacing w:after="0"/>
            </w:pPr>
            <w:r w:rsidRPr="00D606FF">
              <w:rPr>
                <w:b/>
                <w:bCs/>
                <w:iCs/>
              </w:rPr>
              <w:t>Critical Reflection -</w:t>
            </w:r>
            <w:r>
              <w:rPr>
                <w:i/>
              </w:rPr>
              <w:t xml:space="preserve"> </w:t>
            </w:r>
            <w:r w:rsidR="00506B81" w:rsidRPr="00147803">
              <w:rPr>
                <w:b/>
                <w:bCs/>
                <w:i/>
              </w:rPr>
              <w:t>Transition practices consistent with theory, frameworks, and policies:</w:t>
            </w:r>
            <w:r w:rsidR="00506B81">
              <w:rPr>
                <w:b/>
                <w:bCs/>
                <w:i/>
              </w:rPr>
              <w:t xml:space="preserve"> </w:t>
            </w:r>
            <w:r w:rsidR="00506B81" w:rsidRPr="00147803">
              <w:rPr>
                <w:i/>
              </w:rPr>
              <w:t>Our transition practices are aligned with socio-cultural theories like Vygotsky and Malaguzzi, emphasising children as active participants. Using the EYLF/</w:t>
            </w:r>
            <w:proofErr w:type="spellStart"/>
            <w:r w:rsidR="00506B81" w:rsidRPr="00147803">
              <w:rPr>
                <w:i/>
              </w:rPr>
              <w:t>MTOP</w:t>
            </w:r>
            <w:proofErr w:type="spellEnd"/>
            <w:r w:rsidR="00506B81" w:rsidRPr="00147803">
              <w:rPr>
                <w:i/>
              </w:rPr>
              <w:t xml:space="preserve"> frameworks, we focus on building continuity by recognising children’s prior experiences. Our policies, such as the “Transition to School Procedure” and “Orientation for Children Policy,” guide the process. We aim to foster children’s security and confidence by maintaining relationships and preparing them for transitions through intentional teaching strategies.</w:t>
            </w:r>
          </w:p>
          <w:p w14:paraId="6157ECBA" w14:textId="141C8FB5" w:rsidR="006C6894" w:rsidRDefault="00AB2C41" w:rsidP="006C6894">
            <w:pPr>
              <w:shd w:val="clear" w:color="auto" w:fill="FFFFFF"/>
              <w:rPr>
                <w:b/>
                <w:bCs/>
                <w:iCs/>
              </w:rPr>
            </w:pPr>
            <w:r w:rsidRPr="00D606FF">
              <w:rPr>
                <w:b/>
                <w:bCs/>
                <w:iCs/>
              </w:rPr>
              <w:t xml:space="preserve">Families and community </w:t>
            </w:r>
            <w:r w:rsidR="00707D4C">
              <w:rPr>
                <w:b/>
                <w:bCs/>
                <w:iCs/>
              </w:rPr>
              <w:t>–</w:t>
            </w:r>
            <w:r w:rsidR="006949BC">
              <w:rPr>
                <w:b/>
                <w:bCs/>
                <w:iCs/>
              </w:rPr>
              <w:t xml:space="preserve"> </w:t>
            </w:r>
            <w:r w:rsidR="00F80178" w:rsidRPr="005126D9">
              <w:rPr>
                <w:b/>
                <w:bCs/>
                <w:i/>
              </w:rPr>
              <w:t>Supporting children’s resilience and wellbeing through collaboration:</w:t>
            </w:r>
            <w:r w:rsidR="00F80178">
              <w:rPr>
                <w:b/>
                <w:bCs/>
                <w:i/>
              </w:rPr>
              <w:t xml:space="preserve"> </w:t>
            </w:r>
            <w:r w:rsidR="00F80178" w:rsidRPr="005126D9">
              <w:rPr>
                <w:i/>
              </w:rPr>
              <w:t xml:space="preserve">Collaborative partnerships with families and the community play a vital role in supporting children’s resilience during transitions. We regularly visit local schools with children to familiarise them with their future environment. For children with additional needs, we work closely with inclusion support services and families to create tailored transition plans. These partnerships ensure that children feel secure and supported, boosting their confidence and emotional wellbeing during this </w:t>
            </w:r>
            <w:r w:rsidR="00F80178" w:rsidRPr="005126D9">
              <w:rPr>
                <w:i/>
              </w:rPr>
              <w:lastRenderedPageBreak/>
              <w:t>critical time.</w:t>
            </w:r>
          </w:p>
          <w:p w14:paraId="74714799" w14:textId="3EFBEA4A" w:rsidR="00E57A01" w:rsidRPr="00D606FF" w:rsidRDefault="00D606FF" w:rsidP="006C6894">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3C1F46" w:rsidRPr="005025C5" w14:paraId="71245204" w14:textId="77777777" w:rsidTr="001C210D">
        <w:trPr>
          <w:trHeight w:val="572"/>
        </w:trPr>
        <w:tc>
          <w:tcPr>
            <w:tcW w:w="1917" w:type="dxa"/>
            <w:shd w:val="clear" w:color="auto" w:fill="DAEEF3"/>
          </w:tcPr>
          <w:p w14:paraId="2AB39F68" w14:textId="6AF63328" w:rsidR="003C1F46" w:rsidRPr="000160DF" w:rsidRDefault="003C1F46" w:rsidP="003C1F46">
            <w:pPr>
              <w:pStyle w:val="NoSpacing"/>
              <w:rPr>
                <w:b/>
              </w:rPr>
            </w:pPr>
            <w:r>
              <w:rPr>
                <w:b/>
              </w:rPr>
              <w:t>Element 6.2.1</w:t>
            </w:r>
          </w:p>
        </w:tc>
        <w:tc>
          <w:tcPr>
            <w:tcW w:w="13393" w:type="dxa"/>
            <w:shd w:val="clear" w:color="auto" w:fill="FFFFFF"/>
          </w:tcPr>
          <w:p w14:paraId="47F7311F" w14:textId="0D623E5D" w:rsidR="003C1F46" w:rsidRPr="00D67E81" w:rsidRDefault="003C1F46" w:rsidP="003C1F46">
            <w:pPr>
              <w:spacing w:after="0" w:line="240" w:lineRule="auto"/>
            </w:pPr>
            <w:r w:rsidRPr="009260E3">
              <w:rPr>
                <w:rFonts w:cs="Calibri"/>
                <w:b/>
                <w:bCs/>
                <w:color w:val="221E1F"/>
              </w:rPr>
              <w:t>Transitions</w:t>
            </w:r>
            <w:r w:rsidRPr="006071EE">
              <w:rPr>
                <w:rFonts w:cs="Calibri"/>
                <w:b/>
                <w:bCs/>
                <w:color w:val="221E1F"/>
              </w:rPr>
              <w:br/>
            </w:r>
            <w:r w:rsidRPr="004B2189">
              <w:t>Continuity of learning and transitions for each child are supported by sharing information and clarifying responsibilities.</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F4E2C">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51BDE5E0" w:rsidR="00075FF4" w:rsidRDefault="003C1F46" w:rsidP="00075FF4">
            <w:pPr>
              <w:pStyle w:val="NormalWeb"/>
              <w:spacing w:before="0" w:beforeAutospacing="0" w:after="0" w:afterAutospacing="0"/>
              <w:rPr>
                <w:lang w:eastAsia="en-AU"/>
              </w:rPr>
            </w:pPr>
            <w:r>
              <w:rPr>
                <w:rFonts w:ascii="Calibri" w:hAnsi="Calibri" w:cs="Calibri"/>
                <w:color w:val="000000"/>
                <w:sz w:val="20"/>
                <w:szCs w:val="20"/>
              </w:rPr>
              <w:t>6.2.1</w:t>
            </w:r>
          </w:p>
          <w:p w14:paraId="0717B254" w14:textId="18F267AF" w:rsidR="00075FF4" w:rsidRDefault="00075FF4" w:rsidP="00075FF4">
            <w:pPr>
              <w:pStyle w:val="NormalWeb"/>
              <w:spacing w:before="0" w:beforeAutospacing="0" w:after="0" w:afterAutospacing="0"/>
            </w:pPr>
            <w:r>
              <w:rPr>
                <w:rFonts w:ascii="Calibri" w:hAnsi="Calibri" w:cs="Calibri"/>
                <w:color w:val="000000"/>
                <w:sz w:val="20"/>
                <w:szCs w:val="20"/>
              </w:rPr>
              <w:t>Week</w:t>
            </w:r>
            <w:r w:rsidR="00333320">
              <w:rPr>
                <w:rFonts w:ascii="Calibri" w:hAnsi="Calibri" w:cs="Calibri"/>
                <w:color w:val="000000"/>
                <w:sz w:val="20"/>
                <w:szCs w:val="20"/>
              </w:rPr>
              <w:t xml:space="preserve"> </w:t>
            </w:r>
            <w:r w:rsidR="006C6894">
              <w:rPr>
                <w:rFonts w:ascii="Calibri" w:hAnsi="Calibri" w:cs="Calibri"/>
                <w:color w:val="000000"/>
                <w:sz w:val="20"/>
                <w:szCs w:val="20"/>
              </w:rPr>
              <w:t>3</w:t>
            </w:r>
            <w:r w:rsidR="003C1F46">
              <w:rPr>
                <w:rFonts w:ascii="Calibri" w:hAnsi="Calibri" w:cs="Calibri"/>
                <w:color w:val="000000"/>
                <w:sz w:val="20"/>
                <w:szCs w:val="20"/>
              </w:rPr>
              <w:t>1</w:t>
            </w:r>
          </w:p>
          <w:p w14:paraId="3320FC3C" w14:textId="243DBEE2" w:rsidR="00075FF4" w:rsidRPr="00740FED" w:rsidRDefault="00075FF4" w:rsidP="00075FF4">
            <w:pPr>
              <w:pStyle w:val="NoSpacing"/>
              <w:rPr>
                <w:sz w:val="18"/>
                <w:szCs w:val="18"/>
              </w:rPr>
            </w:pPr>
          </w:p>
        </w:tc>
        <w:tc>
          <w:tcPr>
            <w:tcW w:w="1403" w:type="dxa"/>
          </w:tcPr>
          <w:p w14:paraId="13795AB9" w14:textId="186E9CB5" w:rsidR="00075FF4" w:rsidRPr="0057302A" w:rsidRDefault="00FA5306" w:rsidP="00466395">
            <w:pPr>
              <w:spacing w:after="0" w:line="240" w:lineRule="auto"/>
              <w:rPr>
                <w:rStyle w:val="textexposedshow"/>
                <w:rFonts w:cs="Calibri"/>
                <w:color w:val="1D2129"/>
                <w:sz w:val="20"/>
                <w:szCs w:val="20"/>
              </w:rPr>
            </w:pPr>
            <w:r w:rsidRPr="00FA5306">
              <w:rPr>
                <w:rStyle w:val="textexposedshow"/>
                <w:rFonts w:cs="Calibri"/>
                <w:color w:val="1D2129"/>
                <w:sz w:val="20"/>
                <w:szCs w:val="20"/>
              </w:rPr>
              <w:t>Lack of clear communication during child transitions.</w:t>
            </w:r>
          </w:p>
        </w:tc>
        <w:tc>
          <w:tcPr>
            <w:tcW w:w="2268" w:type="dxa"/>
          </w:tcPr>
          <w:p w14:paraId="319A2547" w14:textId="6ADB4E5A" w:rsidR="00A93BCD" w:rsidRPr="00A93BCD" w:rsidRDefault="009D6C80" w:rsidP="00154B17">
            <w:pPr>
              <w:rPr>
                <w:rFonts w:cs="Calibri"/>
                <w:sz w:val="20"/>
                <w:szCs w:val="20"/>
              </w:rPr>
            </w:pPr>
            <w:r w:rsidRPr="009D6C80">
              <w:rPr>
                <w:rFonts w:cs="Calibri"/>
                <w:sz w:val="20"/>
                <w:szCs w:val="20"/>
              </w:rPr>
              <w:t>Ensure smooth transitions for children.</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3EE57E9F" w14:textId="77777777" w:rsidR="009D6C80" w:rsidRPr="009D6C80" w:rsidRDefault="009D6C80" w:rsidP="00526C15">
            <w:pPr>
              <w:spacing w:after="0"/>
              <w:ind w:left="27"/>
            </w:pPr>
            <w:r w:rsidRPr="009D6C80">
              <w:t>Establish a communication system for educators.</w:t>
            </w:r>
          </w:p>
          <w:p w14:paraId="05376990" w14:textId="77777777" w:rsidR="009D6C80" w:rsidRPr="009D6C80" w:rsidRDefault="009D6C80" w:rsidP="00526C15">
            <w:pPr>
              <w:spacing w:after="0"/>
              <w:ind w:left="27"/>
            </w:pPr>
            <w:r w:rsidRPr="009D6C80">
              <w:t>Create transition plans for each child.</w:t>
            </w:r>
          </w:p>
          <w:p w14:paraId="39D97DF3" w14:textId="77777777" w:rsidR="009D6C80" w:rsidRPr="009D6C80" w:rsidRDefault="009D6C80" w:rsidP="00526C15">
            <w:pPr>
              <w:spacing w:after="0"/>
              <w:ind w:left="27"/>
            </w:pPr>
            <w:r w:rsidRPr="009D6C80">
              <w:t>Train educators to provide emotional support.</w:t>
            </w:r>
          </w:p>
          <w:p w14:paraId="67C19570" w14:textId="77777777" w:rsidR="009D6C80" w:rsidRPr="009D6C80" w:rsidRDefault="009D6C80" w:rsidP="00526C15">
            <w:pPr>
              <w:spacing w:after="0"/>
              <w:ind w:left="27"/>
            </w:pPr>
            <w:r w:rsidRPr="009D6C80">
              <w:t>Maintain consistent routines.</w:t>
            </w:r>
          </w:p>
          <w:p w14:paraId="088ED271" w14:textId="77777777" w:rsidR="009D6C80" w:rsidRPr="009D6C80" w:rsidRDefault="009D6C80" w:rsidP="00526C15">
            <w:pPr>
              <w:spacing w:after="0"/>
              <w:ind w:left="27"/>
            </w:pPr>
            <w:r w:rsidRPr="009D6C80">
              <w:t>Implement safety protocols.</w:t>
            </w:r>
          </w:p>
          <w:p w14:paraId="6A2BE9FA" w14:textId="77777777" w:rsidR="009D6C80" w:rsidRPr="009D6C80" w:rsidRDefault="009D6C80" w:rsidP="00526C15">
            <w:pPr>
              <w:spacing w:after="0"/>
              <w:ind w:left="27"/>
            </w:pPr>
            <w:r w:rsidRPr="009D6C80">
              <w:t>Engage families in the transition process.</w:t>
            </w:r>
          </w:p>
          <w:p w14:paraId="31BC0D1D" w14:textId="77777777" w:rsidR="009D6C80" w:rsidRPr="009D6C80" w:rsidRDefault="009D6C80" w:rsidP="00526C15">
            <w:pPr>
              <w:spacing w:after="0"/>
              <w:ind w:left="27"/>
            </w:pPr>
            <w:r w:rsidRPr="009D6C80">
              <w:t>Make informed decisions based on comprehensive info.</w:t>
            </w:r>
          </w:p>
          <w:p w14:paraId="164FDD97" w14:textId="77777777" w:rsidR="009D6C80" w:rsidRPr="009D6C80" w:rsidRDefault="009D6C80" w:rsidP="00526C15">
            <w:pPr>
              <w:spacing w:after="0"/>
              <w:ind w:left="27"/>
            </w:pPr>
            <w:r w:rsidRPr="009D6C80">
              <w:t xml:space="preserve">Collaborate with professionals </w:t>
            </w:r>
            <w:r w:rsidRPr="009D6C80">
              <w:lastRenderedPageBreak/>
              <w:t>when needed.</w:t>
            </w:r>
          </w:p>
          <w:p w14:paraId="56A11EDD" w14:textId="0595F8B9" w:rsidR="00075FF4" w:rsidRPr="00154B17" w:rsidRDefault="00075FF4" w:rsidP="00C16228">
            <w:pPr>
              <w:pStyle w:val="NormalWeb"/>
              <w:spacing w:before="0" w:beforeAutospacing="0" w:after="0" w:afterAutospacing="0"/>
              <w:rPr>
                <w:rStyle w:val="textexposedshow"/>
                <w:rFonts w:ascii="Calibri" w:hAnsi="Calibri" w:cs="Calibri"/>
                <w:color w:val="1D2129"/>
                <w:sz w:val="20"/>
                <w:szCs w:val="20"/>
              </w:rPr>
            </w:pPr>
          </w:p>
        </w:tc>
        <w:tc>
          <w:tcPr>
            <w:tcW w:w="3402" w:type="dxa"/>
          </w:tcPr>
          <w:p w14:paraId="297E2E9A" w14:textId="1516A667" w:rsidR="00075FF4" w:rsidRPr="00105653" w:rsidRDefault="000A7978" w:rsidP="000A7978">
            <w:pPr>
              <w:spacing w:after="0"/>
            </w:pPr>
            <w:r w:rsidRPr="000A7978">
              <w:lastRenderedPageBreak/>
              <w:t>Smooth and stress-free child transitions.</w:t>
            </w: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BF4E2C">
        <w:tc>
          <w:tcPr>
            <w:tcW w:w="973" w:type="dxa"/>
          </w:tcPr>
          <w:p w14:paraId="0335F24B" w14:textId="77777777" w:rsidR="003C1F46" w:rsidRDefault="003C1F46" w:rsidP="003C1F46">
            <w:pPr>
              <w:pStyle w:val="NormalWeb"/>
              <w:spacing w:before="0" w:beforeAutospacing="0" w:after="0" w:afterAutospacing="0"/>
              <w:rPr>
                <w:lang w:eastAsia="en-AU"/>
              </w:rPr>
            </w:pPr>
            <w:r>
              <w:rPr>
                <w:rFonts w:ascii="Calibri" w:hAnsi="Calibri" w:cs="Calibri"/>
                <w:color w:val="000000"/>
                <w:sz w:val="20"/>
                <w:szCs w:val="20"/>
              </w:rPr>
              <w:t>6.2.1</w:t>
            </w:r>
          </w:p>
          <w:p w14:paraId="479CEB35" w14:textId="77777777" w:rsidR="003C1F46" w:rsidRDefault="003C1F46" w:rsidP="003C1F46">
            <w:pPr>
              <w:pStyle w:val="NormalWeb"/>
              <w:spacing w:before="0" w:beforeAutospacing="0" w:after="0" w:afterAutospacing="0"/>
            </w:pPr>
            <w:r>
              <w:rPr>
                <w:rFonts w:ascii="Calibri" w:hAnsi="Calibri" w:cs="Calibri"/>
                <w:color w:val="000000"/>
                <w:sz w:val="20"/>
                <w:szCs w:val="20"/>
              </w:rPr>
              <w:t>Week 31</w:t>
            </w:r>
          </w:p>
          <w:p w14:paraId="5D0BA762" w14:textId="1BD1AAEB" w:rsidR="00075FF4" w:rsidRDefault="00075FF4" w:rsidP="003C1F46">
            <w:pPr>
              <w:pStyle w:val="NoSpacing"/>
              <w:rPr>
                <w:rFonts w:cs="Calibri"/>
                <w:b/>
                <w:bCs/>
                <w:color w:val="000000"/>
                <w:sz w:val="16"/>
                <w:szCs w:val="16"/>
              </w:rPr>
            </w:pPr>
            <w:r w:rsidRPr="00075FF4">
              <w:rPr>
                <w:rFonts w:cs="Calibri"/>
                <w:b/>
                <w:bCs/>
                <w:color w:val="000000"/>
                <w:sz w:val="16"/>
                <w:szCs w:val="16"/>
              </w:rPr>
              <w:t xml:space="preserve">Exceeding </w:t>
            </w:r>
            <w:r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517E6D2E" w:rsidR="00075FF4" w:rsidRPr="00213962" w:rsidRDefault="00DA5AE5" w:rsidP="00075FF4">
            <w:pPr>
              <w:spacing w:after="240"/>
              <w:rPr>
                <w:rStyle w:val="textexposedshow"/>
                <w:rFonts w:cs="Calibri"/>
                <w:color w:val="1D2129"/>
                <w:sz w:val="21"/>
                <w:szCs w:val="21"/>
              </w:rPr>
            </w:pPr>
            <w:r w:rsidRPr="00DA5AE5">
              <w:rPr>
                <w:rStyle w:val="textexposedshow"/>
                <w:rFonts w:cs="Calibri"/>
                <w:color w:val="1D2129"/>
                <w:sz w:val="21"/>
                <w:szCs w:val="21"/>
              </w:rPr>
              <w:t>Inconsistent support for child transitions.</w:t>
            </w:r>
          </w:p>
        </w:tc>
        <w:tc>
          <w:tcPr>
            <w:tcW w:w="2268" w:type="dxa"/>
          </w:tcPr>
          <w:p w14:paraId="5B8B847E" w14:textId="3236A7D5" w:rsidR="00075FF4" w:rsidRPr="00213962" w:rsidRDefault="00721984" w:rsidP="00075FF4">
            <w:pPr>
              <w:spacing w:after="240"/>
              <w:rPr>
                <w:rStyle w:val="textexposedshow"/>
                <w:rFonts w:cs="Calibri"/>
                <w:iCs/>
                <w:color w:val="1D2129"/>
                <w:sz w:val="20"/>
                <w:szCs w:val="20"/>
              </w:rPr>
            </w:pPr>
            <w:r w:rsidRPr="00721984">
              <w:rPr>
                <w:rStyle w:val="textexposedshow"/>
                <w:rFonts w:cs="Calibri"/>
                <w:iCs/>
                <w:color w:val="1D2129"/>
                <w:sz w:val="20"/>
                <w:szCs w:val="20"/>
              </w:rPr>
              <w:t>Ensure smooth and effective transitions for all children.</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70A69623" w14:textId="77777777" w:rsidR="00526C15" w:rsidRPr="00526C15" w:rsidRDefault="00526C15" w:rsidP="00526C15">
            <w:pPr>
              <w:spacing w:after="0"/>
              <w:rPr>
                <w:rStyle w:val="textexposedshow"/>
                <w:rFonts w:cs="Calibri"/>
                <w:color w:val="1D2129"/>
                <w:sz w:val="20"/>
                <w:szCs w:val="20"/>
              </w:rPr>
            </w:pPr>
            <w:r w:rsidRPr="00526C15">
              <w:rPr>
                <w:rStyle w:val="textexposedshow"/>
                <w:rFonts w:cs="Calibri"/>
                <w:color w:val="1D2129"/>
                <w:sz w:val="20"/>
                <w:szCs w:val="20"/>
              </w:rPr>
              <w:t>Create a clear communication system.</w:t>
            </w:r>
          </w:p>
          <w:p w14:paraId="41DAA970" w14:textId="77777777" w:rsidR="00526C15" w:rsidRPr="00526C15" w:rsidRDefault="00526C15" w:rsidP="00526C15">
            <w:pPr>
              <w:spacing w:after="0"/>
              <w:rPr>
                <w:rStyle w:val="textexposedshow"/>
                <w:rFonts w:cs="Calibri"/>
                <w:color w:val="1D2129"/>
                <w:sz w:val="20"/>
                <w:szCs w:val="20"/>
              </w:rPr>
            </w:pPr>
            <w:r w:rsidRPr="00526C15">
              <w:rPr>
                <w:rStyle w:val="textexposedshow"/>
                <w:rFonts w:cs="Calibri"/>
                <w:color w:val="1D2129"/>
                <w:sz w:val="20"/>
                <w:szCs w:val="20"/>
              </w:rPr>
              <w:t>Make personalized transition plans.</w:t>
            </w:r>
          </w:p>
          <w:p w14:paraId="7CA2F6BD" w14:textId="77777777" w:rsidR="00526C15" w:rsidRPr="00526C15" w:rsidRDefault="00526C15" w:rsidP="00526C15">
            <w:pPr>
              <w:spacing w:after="0"/>
              <w:rPr>
                <w:rStyle w:val="textexposedshow"/>
                <w:rFonts w:cs="Calibri"/>
                <w:color w:val="1D2129"/>
                <w:sz w:val="20"/>
                <w:szCs w:val="20"/>
              </w:rPr>
            </w:pPr>
            <w:r w:rsidRPr="00526C15">
              <w:rPr>
                <w:rStyle w:val="textexposedshow"/>
                <w:rFonts w:cs="Calibri"/>
                <w:color w:val="1D2129"/>
                <w:sz w:val="20"/>
                <w:szCs w:val="20"/>
              </w:rPr>
              <w:t>Train for emotional support.</w:t>
            </w:r>
          </w:p>
          <w:p w14:paraId="12E0B4B0" w14:textId="77777777" w:rsidR="00526C15" w:rsidRPr="00526C15" w:rsidRDefault="00526C15" w:rsidP="00526C15">
            <w:pPr>
              <w:spacing w:after="0"/>
              <w:rPr>
                <w:rStyle w:val="textexposedshow"/>
                <w:rFonts w:cs="Calibri"/>
                <w:color w:val="1D2129"/>
                <w:sz w:val="20"/>
                <w:szCs w:val="20"/>
              </w:rPr>
            </w:pPr>
            <w:r w:rsidRPr="00526C15">
              <w:rPr>
                <w:rStyle w:val="textexposedshow"/>
                <w:rFonts w:cs="Calibri"/>
                <w:color w:val="1D2129"/>
                <w:sz w:val="20"/>
                <w:szCs w:val="20"/>
              </w:rPr>
              <w:t>Keep routines consistent.</w:t>
            </w:r>
          </w:p>
          <w:p w14:paraId="51807983" w14:textId="77777777" w:rsidR="00526C15" w:rsidRPr="00526C15" w:rsidRDefault="00526C15" w:rsidP="00526C15">
            <w:pPr>
              <w:spacing w:after="0"/>
              <w:rPr>
                <w:rStyle w:val="textexposedshow"/>
                <w:rFonts w:cs="Calibri"/>
                <w:color w:val="1D2129"/>
                <w:sz w:val="20"/>
                <w:szCs w:val="20"/>
              </w:rPr>
            </w:pPr>
            <w:r w:rsidRPr="00526C15">
              <w:rPr>
                <w:rStyle w:val="textexposedshow"/>
                <w:rFonts w:cs="Calibri"/>
                <w:color w:val="1D2129"/>
                <w:sz w:val="20"/>
                <w:szCs w:val="20"/>
              </w:rPr>
              <w:t>Track child development.</w:t>
            </w:r>
          </w:p>
          <w:p w14:paraId="48C26B8F" w14:textId="77777777" w:rsidR="00526C15" w:rsidRPr="00526C15" w:rsidRDefault="00526C15" w:rsidP="00526C15">
            <w:pPr>
              <w:spacing w:after="0"/>
              <w:rPr>
                <w:rStyle w:val="textexposedshow"/>
                <w:rFonts w:cs="Calibri"/>
                <w:color w:val="1D2129"/>
                <w:sz w:val="20"/>
                <w:szCs w:val="20"/>
              </w:rPr>
            </w:pPr>
            <w:r w:rsidRPr="00526C15">
              <w:rPr>
                <w:rStyle w:val="textexposedshow"/>
                <w:rFonts w:cs="Calibri"/>
                <w:color w:val="1D2129"/>
                <w:sz w:val="20"/>
                <w:szCs w:val="20"/>
              </w:rPr>
              <w:t>Ensure safety.</w:t>
            </w:r>
          </w:p>
          <w:p w14:paraId="65A52609" w14:textId="77777777" w:rsidR="00526C15" w:rsidRPr="00526C15" w:rsidRDefault="00526C15" w:rsidP="00526C15">
            <w:pPr>
              <w:spacing w:after="0"/>
              <w:rPr>
                <w:rStyle w:val="textexposedshow"/>
                <w:rFonts w:cs="Calibri"/>
                <w:color w:val="1D2129"/>
                <w:sz w:val="20"/>
                <w:szCs w:val="20"/>
              </w:rPr>
            </w:pPr>
            <w:r w:rsidRPr="00526C15">
              <w:rPr>
                <w:rStyle w:val="textexposedshow"/>
                <w:rFonts w:cs="Calibri"/>
                <w:color w:val="1D2129"/>
                <w:sz w:val="20"/>
                <w:szCs w:val="20"/>
              </w:rPr>
              <w:t>Engage families.</w:t>
            </w:r>
          </w:p>
          <w:p w14:paraId="0BB1265A" w14:textId="77777777" w:rsidR="00526C15" w:rsidRPr="00526C15" w:rsidRDefault="00526C15" w:rsidP="00526C15">
            <w:pPr>
              <w:spacing w:after="0"/>
              <w:rPr>
                <w:rStyle w:val="textexposedshow"/>
                <w:rFonts w:cs="Calibri"/>
                <w:color w:val="1D2129"/>
                <w:sz w:val="20"/>
                <w:szCs w:val="20"/>
              </w:rPr>
            </w:pPr>
            <w:r w:rsidRPr="00526C15">
              <w:rPr>
                <w:rStyle w:val="textexposedshow"/>
                <w:rFonts w:cs="Calibri"/>
                <w:color w:val="1D2129"/>
                <w:sz w:val="20"/>
                <w:szCs w:val="20"/>
              </w:rPr>
              <w:t>Use info for decisions.</w:t>
            </w:r>
          </w:p>
          <w:p w14:paraId="4E8664EA" w14:textId="26190092" w:rsidR="009B4161" w:rsidRPr="00D04580" w:rsidRDefault="00526C15" w:rsidP="00526C15">
            <w:pPr>
              <w:spacing w:after="0"/>
              <w:rPr>
                <w:rStyle w:val="textexposedshow"/>
                <w:rFonts w:cs="Calibri"/>
                <w:color w:val="1D2129"/>
                <w:sz w:val="20"/>
                <w:szCs w:val="20"/>
              </w:rPr>
            </w:pPr>
            <w:r w:rsidRPr="00526C15">
              <w:rPr>
                <w:rStyle w:val="textexposedshow"/>
                <w:rFonts w:cs="Calibri"/>
                <w:color w:val="1D2129"/>
                <w:sz w:val="20"/>
                <w:szCs w:val="20"/>
              </w:rPr>
              <w:t>Team up with pros when necessary.</w:t>
            </w:r>
          </w:p>
        </w:tc>
        <w:tc>
          <w:tcPr>
            <w:tcW w:w="3402" w:type="dxa"/>
          </w:tcPr>
          <w:p w14:paraId="2E7CC791" w14:textId="77777777" w:rsidR="000B64F8" w:rsidRDefault="000B64F8" w:rsidP="000B64F8">
            <w:pPr>
              <w:rPr>
                <w:i/>
                <w:color w:val="FF0000"/>
              </w:rPr>
            </w:pPr>
            <w:r>
              <w:rPr>
                <w:i/>
              </w:rPr>
              <w:t>Educators</w:t>
            </w:r>
            <w:r>
              <w:t xml:space="preserve"> </w:t>
            </w:r>
            <w:r>
              <w:rPr>
                <w:i/>
              </w:rPr>
              <w:t>systematically promote continuity of learning and effective transitions for each child in the following ways:</w:t>
            </w:r>
          </w:p>
          <w:p w14:paraId="0C955E27" w14:textId="77777777" w:rsidR="00A00AB7" w:rsidRDefault="00A00AB7" w:rsidP="00A00AB7">
            <w:pPr>
              <w:numPr>
                <w:ilvl w:val="0"/>
                <w:numId w:val="44"/>
              </w:numPr>
              <w:pBdr>
                <w:top w:val="nil"/>
                <w:left w:val="nil"/>
                <w:bottom w:val="nil"/>
                <w:right w:val="nil"/>
                <w:between w:val="nil"/>
              </w:pBdr>
              <w:spacing w:after="0" w:line="259" w:lineRule="auto"/>
              <w:ind w:hanging="357"/>
              <w:rPr>
                <w:color w:val="FF0000"/>
              </w:rPr>
            </w:pPr>
            <w:r>
              <w:rPr>
                <w:color w:val="FF0000"/>
              </w:rPr>
              <w:t>We share information about children with new educators, talk to children positively about the move to a new room at least two weeks before the move. We refer to new educators in daily conversations, invite new educators to visit children in their current room several times. We introduce them to the children and encourage children to play with them. We take children and parents/guardians on several visits to the new room before the move happens.</w:t>
            </w:r>
          </w:p>
          <w:p w14:paraId="7A76C3FA" w14:textId="766E5DA6" w:rsidR="004662DA" w:rsidRPr="00A00AB7" w:rsidRDefault="00A00AB7" w:rsidP="00A00AB7">
            <w:pPr>
              <w:numPr>
                <w:ilvl w:val="0"/>
                <w:numId w:val="44"/>
              </w:numPr>
              <w:pBdr>
                <w:top w:val="nil"/>
                <w:left w:val="nil"/>
                <w:bottom w:val="nil"/>
                <w:right w:val="nil"/>
                <w:between w:val="nil"/>
              </w:pBdr>
              <w:spacing w:after="0" w:line="259" w:lineRule="auto"/>
              <w:ind w:hanging="357"/>
              <w:rPr>
                <w:color w:val="FF0000"/>
              </w:rPr>
            </w:pPr>
            <w:r w:rsidRPr="00A00AB7">
              <w:rPr>
                <w:color w:val="FF0000"/>
              </w:rPr>
              <w:t>Transition to School Procedure. Educators tell parents/guardians how they can help their child get ready for school. Educators give parents/guardians a school readiness report in October. Educators take children on excursions to local school(s) near the end of year. Educators encourage children to bring a school lunch for a week in December.</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BF4E2C">
        <w:tc>
          <w:tcPr>
            <w:tcW w:w="973" w:type="dxa"/>
          </w:tcPr>
          <w:p w14:paraId="02ADC9A8" w14:textId="77777777" w:rsidR="003C1F46" w:rsidRDefault="003C1F46" w:rsidP="003C1F46">
            <w:pPr>
              <w:pStyle w:val="NormalWeb"/>
              <w:spacing w:before="0" w:beforeAutospacing="0" w:after="0" w:afterAutospacing="0"/>
              <w:rPr>
                <w:lang w:eastAsia="en-AU"/>
              </w:rPr>
            </w:pPr>
            <w:r>
              <w:rPr>
                <w:rFonts w:ascii="Calibri" w:hAnsi="Calibri" w:cs="Calibri"/>
                <w:color w:val="000000"/>
                <w:sz w:val="20"/>
                <w:szCs w:val="20"/>
              </w:rPr>
              <w:t>6.2.1</w:t>
            </w:r>
          </w:p>
          <w:p w14:paraId="601DE9C7" w14:textId="77777777" w:rsidR="003C1F46" w:rsidRDefault="003C1F46" w:rsidP="003C1F46">
            <w:pPr>
              <w:pStyle w:val="NormalWeb"/>
              <w:spacing w:before="0" w:beforeAutospacing="0" w:after="0" w:afterAutospacing="0"/>
            </w:pPr>
            <w:r>
              <w:rPr>
                <w:rFonts w:ascii="Calibri" w:hAnsi="Calibri" w:cs="Calibri"/>
                <w:color w:val="000000"/>
                <w:sz w:val="20"/>
                <w:szCs w:val="20"/>
              </w:rPr>
              <w:t>Week 31</w:t>
            </w:r>
          </w:p>
          <w:p w14:paraId="543E98BC" w14:textId="5596BA68" w:rsidR="00371FE4" w:rsidRDefault="009B4161" w:rsidP="003C1F46">
            <w:pPr>
              <w:pStyle w:val="NoSpacing"/>
              <w:rPr>
                <w:rFonts w:cs="Calibri"/>
                <w:b/>
                <w:bCs/>
                <w:color w:val="000000"/>
                <w:sz w:val="18"/>
                <w:szCs w:val="18"/>
              </w:rPr>
            </w:pPr>
            <w:r>
              <w:rPr>
                <w:rFonts w:cs="Calibri"/>
                <w:color w:val="000000"/>
                <w:sz w:val="20"/>
                <w:szCs w:val="20"/>
              </w:rPr>
              <w:lastRenderedPageBreak/>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2D3B7586" w:rsidR="00371FE4" w:rsidRPr="0057302A" w:rsidRDefault="001D070B" w:rsidP="00371FE4">
            <w:pPr>
              <w:spacing w:after="0" w:line="240" w:lineRule="auto"/>
              <w:rPr>
                <w:rStyle w:val="textexposedshow"/>
                <w:rFonts w:cs="Calibri"/>
                <w:color w:val="1D2129"/>
                <w:sz w:val="20"/>
                <w:szCs w:val="20"/>
              </w:rPr>
            </w:pPr>
            <w:r w:rsidRPr="001D070B">
              <w:rPr>
                <w:rStyle w:val="textexposedshow"/>
                <w:rFonts w:cs="Calibri"/>
                <w:color w:val="1D2129"/>
                <w:sz w:val="20"/>
                <w:szCs w:val="20"/>
              </w:rPr>
              <w:lastRenderedPageBreak/>
              <w:t xml:space="preserve">Lack of alignment </w:t>
            </w:r>
            <w:r w:rsidRPr="001D070B">
              <w:rPr>
                <w:rStyle w:val="textexposedshow"/>
                <w:rFonts w:cs="Calibri"/>
                <w:color w:val="1D2129"/>
                <w:sz w:val="20"/>
                <w:szCs w:val="20"/>
              </w:rPr>
              <w:lastRenderedPageBreak/>
              <w:t>with practice theory, learning frameworks, and service policies.</w:t>
            </w:r>
          </w:p>
        </w:tc>
        <w:tc>
          <w:tcPr>
            <w:tcW w:w="2268" w:type="dxa"/>
          </w:tcPr>
          <w:p w14:paraId="07830F15" w14:textId="4BFB812D" w:rsidR="00371FE4" w:rsidRPr="0057302A" w:rsidRDefault="00AA453B" w:rsidP="00371FE4">
            <w:pPr>
              <w:spacing w:after="0" w:line="240" w:lineRule="auto"/>
              <w:rPr>
                <w:rStyle w:val="textexposedshow"/>
                <w:rFonts w:cs="Calibri"/>
                <w:color w:val="1D2129"/>
                <w:sz w:val="20"/>
                <w:szCs w:val="20"/>
              </w:rPr>
            </w:pPr>
            <w:r w:rsidRPr="00AA453B">
              <w:rPr>
                <w:rStyle w:val="textexposedshow"/>
                <w:rFonts w:cs="Calibri"/>
                <w:color w:val="1D2129"/>
                <w:sz w:val="20"/>
                <w:szCs w:val="20"/>
              </w:rPr>
              <w:lastRenderedPageBreak/>
              <w:t xml:space="preserve">Ensure transition practices are in line with </w:t>
            </w:r>
            <w:r w:rsidRPr="00AA453B">
              <w:rPr>
                <w:rStyle w:val="textexposedshow"/>
                <w:rFonts w:cs="Calibri"/>
                <w:color w:val="1D2129"/>
                <w:sz w:val="20"/>
                <w:szCs w:val="20"/>
              </w:rPr>
              <w:lastRenderedPageBreak/>
              <w:t>theory, learning frameworks, and service policies.</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44C7C51" w14:textId="77777777" w:rsidR="00AA453B" w:rsidRPr="00AA453B" w:rsidRDefault="00AA453B" w:rsidP="00AA453B">
            <w:pPr>
              <w:spacing w:after="0"/>
              <w:textAlignment w:val="baseline"/>
              <w:rPr>
                <w:rStyle w:val="textexposedshow"/>
                <w:rFonts w:cs="Calibri"/>
                <w:color w:val="1D2129"/>
                <w:sz w:val="20"/>
                <w:szCs w:val="20"/>
              </w:rPr>
            </w:pPr>
            <w:r w:rsidRPr="00AA453B">
              <w:rPr>
                <w:rStyle w:val="textexposedshow"/>
                <w:rFonts w:cs="Calibri"/>
                <w:color w:val="1D2129"/>
                <w:sz w:val="20"/>
                <w:szCs w:val="20"/>
              </w:rPr>
              <w:t xml:space="preserve">Review practice </w:t>
            </w:r>
            <w:r w:rsidRPr="00AA453B">
              <w:rPr>
                <w:rStyle w:val="textexposedshow"/>
                <w:rFonts w:cs="Calibri"/>
                <w:color w:val="1D2129"/>
                <w:sz w:val="20"/>
                <w:szCs w:val="20"/>
              </w:rPr>
              <w:lastRenderedPageBreak/>
              <w:t>theory and guidelines.</w:t>
            </w:r>
          </w:p>
          <w:p w14:paraId="754A110E" w14:textId="77777777" w:rsidR="00AA453B" w:rsidRPr="00AA453B" w:rsidRDefault="00AA453B" w:rsidP="00AA453B">
            <w:pPr>
              <w:spacing w:after="0"/>
              <w:textAlignment w:val="baseline"/>
              <w:rPr>
                <w:rStyle w:val="textexposedshow"/>
                <w:rFonts w:cs="Calibri"/>
                <w:color w:val="1D2129"/>
                <w:sz w:val="20"/>
                <w:szCs w:val="20"/>
              </w:rPr>
            </w:pPr>
            <w:r w:rsidRPr="00AA453B">
              <w:rPr>
                <w:rStyle w:val="textexposedshow"/>
                <w:rFonts w:cs="Calibri"/>
                <w:color w:val="1D2129"/>
                <w:sz w:val="20"/>
                <w:szCs w:val="20"/>
              </w:rPr>
              <w:t>Align transition practices with approved learning frameworks.</w:t>
            </w:r>
          </w:p>
          <w:p w14:paraId="357D39ED" w14:textId="77777777" w:rsidR="00AA453B" w:rsidRPr="00AA453B" w:rsidRDefault="00AA453B" w:rsidP="00AA453B">
            <w:pPr>
              <w:spacing w:after="0"/>
              <w:textAlignment w:val="baseline"/>
              <w:rPr>
                <w:rStyle w:val="textexposedshow"/>
                <w:rFonts w:cs="Calibri"/>
                <w:color w:val="1D2129"/>
                <w:sz w:val="20"/>
                <w:szCs w:val="20"/>
              </w:rPr>
            </w:pPr>
            <w:r w:rsidRPr="00AA453B">
              <w:rPr>
                <w:rStyle w:val="textexposedshow"/>
                <w:rFonts w:cs="Calibri"/>
                <w:color w:val="1D2129"/>
                <w:sz w:val="20"/>
                <w:szCs w:val="20"/>
              </w:rPr>
              <w:t>Update service policies to match best practices.</w:t>
            </w:r>
          </w:p>
          <w:p w14:paraId="3CE109E2" w14:textId="20240C0C" w:rsidR="00371FE4" w:rsidRPr="00D04580" w:rsidRDefault="00AA453B" w:rsidP="00AA453B">
            <w:pPr>
              <w:spacing w:after="0"/>
              <w:textAlignment w:val="baseline"/>
              <w:rPr>
                <w:rStyle w:val="textexposedshow"/>
                <w:rFonts w:cs="Calibri"/>
                <w:color w:val="1D2129"/>
                <w:sz w:val="20"/>
                <w:szCs w:val="20"/>
              </w:rPr>
            </w:pPr>
            <w:r w:rsidRPr="00AA453B">
              <w:rPr>
                <w:rStyle w:val="textexposedshow"/>
                <w:rFonts w:cs="Calibri"/>
                <w:color w:val="1D2129"/>
                <w:sz w:val="20"/>
                <w:szCs w:val="20"/>
              </w:rPr>
              <w:t>Train educators on the new approach.</w:t>
            </w:r>
          </w:p>
        </w:tc>
        <w:tc>
          <w:tcPr>
            <w:tcW w:w="3402" w:type="dxa"/>
          </w:tcPr>
          <w:p w14:paraId="2BDE6A8A" w14:textId="77777777" w:rsidR="0005192E" w:rsidRDefault="0005192E" w:rsidP="0005192E">
            <w:pPr>
              <w:rPr>
                <w:i/>
                <w:color w:val="FF0000"/>
              </w:rPr>
            </w:pPr>
            <w:r>
              <w:rPr>
                <w:i/>
              </w:rPr>
              <w:lastRenderedPageBreak/>
              <w:t xml:space="preserve">Educators’ transition practices are </w:t>
            </w:r>
            <w:r>
              <w:rPr>
                <w:i/>
              </w:rPr>
              <w:lastRenderedPageBreak/>
              <w:t>consistent with practice theory, the approved learning framework/s, and the service’s policies and procedures. For example, our:</w:t>
            </w:r>
          </w:p>
          <w:p w14:paraId="0EAA03FB" w14:textId="77777777" w:rsidR="0005192E" w:rsidRDefault="0005192E" w:rsidP="0005192E">
            <w:pPr>
              <w:numPr>
                <w:ilvl w:val="0"/>
                <w:numId w:val="43"/>
              </w:numPr>
              <w:pBdr>
                <w:top w:val="nil"/>
                <w:left w:val="nil"/>
                <w:bottom w:val="nil"/>
                <w:right w:val="nil"/>
                <w:between w:val="nil"/>
              </w:pBdr>
              <w:spacing w:after="0" w:line="259" w:lineRule="auto"/>
              <w:rPr>
                <w:color w:val="FF0000"/>
              </w:rPr>
            </w:pPr>
            <w:r>
              <w:rPr>
                <w:color w:val="FF0000"/>
              </w:rPr>
              <w:t>Orientation for Children Policy</w:t>
            </w:r>
          </w:p>
          <w:p w14:paraId="2B67717A" w14:textId="77777777" w:rsidR="0005192E" w:rsidRDefault="0005192E" w:rsidP="0005192E">
            <w:pPr>
              <w:numPr>
                <w:ilvl w:val="0"/>
                <w:numId w:val="43"/>
              </w:numPr>
              <w:pBdr>
                <w:top w:val="nil"/>
                <w:left w:val="nil"/>
                <w:bottom w:val="nil"/>
                <w:right w:val="nil"/>
                <w:between w:val="nil"/>
              </w:pBdr>
              <w:spacing w:after="0" w:line="259" w:lineRule="auto"/>
              <w:rPr>
                <w:color w:val="FF0000"/>
              </w:rPr>
            </w:pPr>
            <w:r>
              <w:rPr>
                <w:color w:val="FF0000"/>
              </w:rPr>
              <w:t>Procedures – transition to a new room procedure, transition to school procedure, transition between settings procedure</w:t>
            </w:r>
          </w:p>
          <w:p w14:paraId="3A791F20" w14:textId="77777777" w:rsidR="0005192E" w:rsidRDefault="0005192E" w:rsidP="0005192E">
            <w:pPr>
              <w:numPr>
                <w:ilvl w:val="0"/>
                <w:numId w:val="43"/>
              </w:numPr>
              <w:pBdr>
                <w:top w:val="nil"/>
                <w:left w:val="nil"/>
                <w:bottom w:val="nil"/>
                <w:right w:val="nil"/>
                <w:between w:val="nil"/>
              </w:pBdr>
              <w:spacing w:after="0" w:line="259" w:lineRule="auto"/>
              <w:rPr>
                <w:color w:val="FF0000"/>
              </w:rPr>
            </w:pPr>
            <w:r>
              <w:rPr>
                <w:color w:val="FF0000"/>
              </w:rPr>
              <w:t>EYLF/MTOP Practice – Continuity of learning and transitions – “Building on children’s prior and current experiences helps them to feel secure, confident and connected to familiar people, places, events and understandings. Children, families and early childhood educators all contribute to successful transitions between settings. In partnership with families, early childhood educators ensure that children have an active role in preparing for transitions.”</w:t>
            </w:r>
          </w:p>
          <w:p w14:paraId="53ABE53E" w14:textId="77777777" w:rsidR="0005192E" w:rsidRDefault="0005192E" w:rsidP="0005192E">
            <w:pPr>
              <w:numPr>
                <w:ilvl w:val="0"/>
                <w:numId w:val="42"/>
              </w:numPr>
              <w:pBdr>
                <w:top w:val="nil"/>
                <w:left w:val="nil"/>
                <w:bottom w:val="nil"/>
                <w:right w:val="nil"/>
                <w:between w:val="nil"/>
              </w:pBdr>
              <w:spacing w:after="0" w:line="259" w:lineRule="auto"/>
              <w:rPr>
                <w:color w:val="FF0000"/>
              </w:rPr>
            </w:pPr>
            <w:r>
              <w:rPr>
                <w:color w:val="FF0000"/>
              </w:rPr>
              <w:t>Socio-cultural approach – Vygotsky, Malaguzzi, Rogoff, Fleer – Children are active participants in their learning, educators use intentional teaching, relationships and cultural participation lead to learning.</w:t>
            </w:r>
          </w:p>
          <w:p w14:paraId="4282EA4D" w14:textId="0A642EAF" w:rsidR="00A5063A" w:rsidRPr="006312D2" w:rsidRDefault="00A5063A" w:rsidP="006C6894">
            <w:pPr>
              <w:pBdr>
                <w:top w:val="nil"/>
                <w:left w:val="nil"/>
                <w:bottom w:val="nil"/>
                <w:right w:val="nil"/>
                <w:between w:val="nil"/>
              </w:pBdr>
              <w:spacing w:after="0" w:line="259" w:lineRule="auto"/>
              <w:rPr>
                <w:color w:val="FF0000"/>
              </w:rPr>
            </w:pP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BF4E2C">
        <w:tc>
          <w:tcPr>
            <w:tcW w:w="973" w:type="dxa"/>
          </w:tcPr>
          <w:p w14:paraId="2C903EE1" w14:textId="77777777" w:rsidR="003C1F46" w:rsidRDefault="003C1F46" w:rsidP="003C1F46">
            <w:pPr>
              <w:pStyle w:val="NormalWeb"/>
              <w:spacing w:before="0" w:beforeAutospacing="0" w:after="0" w:afterAutospacing="0"/>
              <w:rPr>
                <w:lang w:eastAsia="en-AU"/>
              </w:rPr>
            </w:pPr>
            <w:r>
              <w:rPr>
                <w:rFonts w:ascii="Calibri" w:hAnsi="Calibri" w:cs="Calibri"/>
                <w:color w:val="000000"/>
                <w:sz w:val="20"/>
                <w:szCs w:val="20"/>
              </w:rPr>
              <w:t>6.2.1</w:t>
            </w:r>
          </w:p>
          <w:p w14:paraId="34C91BA0" w14:textId="77777777" w:rsidR="003C1F46" w:rsidRDefault="003C1F46" w:rsidP="003C1F46">
            <w:pPr>
              <w:pStyle w:val="NormalWeb"/>
              <w:spacing w:before="0" w:beforeAutospacing="0" w:after="0" w:afterAutospacing="0"/>
            </w:pPr>
            <w:r>
              <w:rPr>
                <w:rFonts w:ascii="Calibri" w:hAnsi="Calibri" w:cs="Calibri"/>
                <w:color w:val="000000"/>
                <w:sz w:val="20"/>
                <w:szCs w:val="20"/>
              </w:rPr>
              <w:lastRenderedPageBreak/>
              <w:t>Week 31</w:t>
            </w:r>
          </w:p>
          <w:p w14:paraId="58F53C8E" w14:textId="127A1B19" w:rsidR="00075FF4" w:rsidRDefault="002E1D13" w:rsidP="003C1F46">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5B223DF1" w:rsidR="00075FF4" w:rsidRPr="0057302A" w:rsidRDefault="00B25F3C" w:rsidP="00075FF4">
            <w:pPr>
              <w:spacing w:after="0" w:line="240" w:lineRule="auto"/>
              <w:rPr>
                <w:rStyle w:val="textexposedshow"/>
                <w:rFonts w:cs="Calibri"/>
                <w:color w:val="1D2129"/>
                <w:sz w:val="20"/>
                <w:szCs w:val="20"/>
              </w:rPr>
            </w:pPr>
            <w:r w:rsidRPr="00B25F3C">
              <w:rPr>
                <w:rStyle w:val="textexposedshow"/>
                <w:rFonts w:cs="Calibri"/>
                <w:color w:val="1D2129"/>
                <w:sz w:val="20"/>
                <w:szCs w:val="20"/>
              </w:rPr>
              <w:lastRenderedPageBreak/>
              <w:t xml:space="preserve">Limited </w:t>
            </w:r>
            <w:r w:rsidRPr="00B25F3C">
              <w:rPr>
                <w:rStyle w:val="textexposedshow"/>
                <w:rFonts w:cs="Calibri"/>
                <w:color w:val="1D2129"/>
                <w:sz w:val="20"/>
                <w:szCs w:val="20"/>
              </w:rPr>
              <w:lastRenderedPageBreak/>
              <w:t>collaboration with families or the community during transitions.</w:t>
            </w:r>
          </w:p>
        </w:tc>
        <w:tc>
          <w:tcPr>
            <w:tcW w:w="2268" w:type="dxa"/>
          </w:tcPr>
          <w:p w14:paraId="1B8BD92E" w14:textId="7A71034C" w:rsidR="00075FF4" w:rsidRPr="0057302A" w:rsidRDefault="00814A8C" w:rsidP="00075FF4">
            <w:pPr>
              <w:spacing w:after="0" w:line="240" w:lineRule="auto"/>
              <w:rPr>
                <w:rStyle w:val="textexposedshow"/>
                <w:rFonts w:cs="Calibri"/>
                <w:color w:val="1D2129"/>
                <w:sz w:val="20"/>
                <w:szCs w:val="20"/>
              </w:rPr>
            </w:pPr>
            <w:r w:rsidRPr="00814A8C">
              <w:rPr>
                <w:rStyle w:val="textexposedshow"/>
                <w:rFonts w:cs="Calibri"/>
                <w:color w:val="1D2129"/>
                <w:sz w:val="20"/>
                <w:szCs w:val="20"/>
              </w:rPr>
              <w:lastRenderedPageBreak/>
              <w:t xml:space="preserve">Support children's </w:t>
            </w:r>
            <w:r w:rsidRPr="00814A8C">
              <w:rPr>
                <w:rStyle w:val="textexposedshow"/>
                <w:rFonts w:cs="Calibri"/>
                <w:color w:val="1D2129"/>
                <w:sz w:val="20"/>
                <w:szCs w:val="20"/>
              </w:rPr>
              <w:lastRenderedPageBreak/>
              <w:t>resilience and wellbeing through strong partnerships.</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11187730" w14:textId="77777777" w:rsidR="00814A8C" w:rsidRPr="00814A8C" w:rsidRDefault="00814A8C" w:rsidP="00814A8C">
            <w:pPr>
              <w:spacing w:after="0"/>
              <w:rPr>
                <w:rStyle w:val="textexposedshow"/>
                <w:rFonts w:cs="Calibri"/>
                <w:color w:val="1D2129"/>
                <w:sz w:val="20"/>
                <w:szCs w:val="20"/>
              </w:rPr>
            </w:pPr>
            <w:r w:rsidRPr="00814A8C">
              <w:rPr>
                <w:rStyle w:val="textexposedshow"/>
                <w:rFonts w:cs="Calibri"/>
                <w:color w:val="1D2129"/>
                <w:sz w:val="20"/>
                <w:szCs w:val="20"/>
              </w:rPr>
              <w:t xml:space="preserve">Strengthen </w:t>
            </w:r>
            <w:r w:rsidRPr="00814A8C">
              <w:rPr>
                <w:rStyle w:val="textexposedshow"/>
                <w:rFonts w:cs="Calibri"/>
                <w:color w:val="1D2129"/>
                <w:sz w:val="20"/>
                <w:szCs w:val="20"/>
              </w:rPr>
              <w:lastRenderedPageBreak/>
              <w:t>communication with families.</w:t>
            </w:r>
          </w:p>
          <w:p w14:paraId="72A1187E" w14:textId="77777777" w:rsidR="00814A8C" w:rsidRPr="00814A8C" w:rsidRDefault="00814A8C" w:rsidP="00814A8C">
            <w:pPr>
              <w:spacing w:after="0"/>
              <w:rPr>
                <w:rStyle w:val="textexposedshow"/>
                <w:rFonts w:cs="Calibri"/>
                <w:color w:val="1D2129"/>
                <w:sz w:val="20"/>
                <w:szCs w:val="20"/>
              </w:rPr>
            </w:pPr>
            <w:r w:rsidRPr="00814A8C">
              <w:rPr>
                <w:rStyle w:val="textexposedshow"/>
                <w:rFonts w:cs="Calibri"/>
                <w:color w:val="1D2129"/>
                <w:sz w:val="20"/>
                <w:szCs w:val="20"/>
              </w:rPr>
              <w:t>Engage families in transition planning.</w:t>
            </w:r>
          </w:p>
          <w:p w14:paraId="2935927C" w14:textId="77777777" w:rsidR="00814A8C" w:rsidRPr="00814A8C" w:rsidRDefault="00814A8C" w:rsidP="00814A8C">
            <w:pPr>
              <w:spacing w:after="0"/>
              <w:rPr>
                <w:rStyle w:val="textexposedshow"/>
                <w:rFonts w:cs="Calibri"/>
                <w:color w:val="1D2129"/>
                <w:sz w:val="20"/>
                <w:szCs w:val="20"/>
              </w:rPr>
            </w:pPr>
            <w:r w:rsidRPr="00814A8C">
              <w:rPr>
                <w:rStyle w:val="textexposedshow"/>
                <w:rFonts w:cs="Calibri"/>
                <w:color w:val="1D2129"/>
                <w:sz w:val="20"/>
                <w:szCs w:val="20"/>
              </w:rPr>
              <w:t>Encourage community involvement.</w:t>
            </w:r>
          </w:p>
          <w:p w14:paraId="5D17587D" w14:textId="07416A81" w:rsidR="00075FF4" w:rsidRDefault="00814A8C" w:rsidP="00814A8C">
            <w:pPr>
              <w:spacing w:after="0"/>
              <w:rPr>
                <w:rStyle w:val="textexposedshow"/>
                <w:rFonts w:cs="Calibri"/>
                <w:color w:val="1D2129"/>
                <w:sz w:val="20"/>
                <w:szCs w:val="20"/>
              </w:rPr>
            </w:pPr>
            <w:r w:rsidRPr="00814A8C">
              <w:rPr>
                <w:rStyle w:val="textexposedshow"/>
                <w:rFonts w:cs="Calibri"/>
                <w:color w:val="1D2129"/>
                <w:sz w:val="20"/>
                <w:szCs w:val="20"/>
              </w:rPr>
              <w:t>Share resources and guidance with families.</w:t>
            </w:r>
          </w:p>
          <w:p w14:paraId="0A45A61D" w14:textId="357BCBE4" w:rsidR="00814A8C" w:rsidRPr="00814A8C" w:rsidRDefault="00814A8C" w:rsidP="00814A8C">
            <w:pPr>
              <w:jc w:val="center"/>
              <w:rPr>
                <w:rFonts w:cs="Calibri"/>
                <w:sz w:val="20"/>
                <w:szCs w:val="20"/>
              </w:rPr>
            </w:pPr>
          </w:p>
        </w:tc>
        <w:tc>
          <w:tcPr>
            <w:tcW w:w="3402" w:type="dxa"/>
          </w:tcPr>
          <w:p w14:paraId="66495AC9" w14:textId="77777777" w:rsidR="00B5777A" w:rsidRDefault="00B5777A" w:rsidP="00B5777A">
            <w:pPr>
              <w:rPr>
                <w:i/>
              </w:rPr>
            </w:pPr>
            <w:r>
              <w:rPr>
                <w:i/>
              </w:rPr>
              <w:lastRenderedPageBreak/>
              <w:t xml:space="preserve">Educators’ collaborative </w:t>
            </w:r>
            <w:r>
              <w:rPr>
                <w:i/>
              </w:rPr>
              <w:lastRenderedPageBreak/>
              <w:t>partnerships with families or the community supports children’s resilience and wellbeing during transitions. For example:</w:t>
            </w:r>
          </w:p>
          <w:p w14:paraId="272CB81F" w14:textId="55E17668" w:rsidR="00B5777A" w:rsidRDefault="00B5777A" w:rsidP="00B5777A">
            <w:pPr>
              <w:numPr>
                <w:ilvl w:val="0"/>
                <w:numId w:val="41"/>
              </w:numPr>
              <w:pBdr>
                <w:top w:val="nil"/>
                <w:left w:val="nil"/>
                <w:bottom w:val="nil"/>
                <w:right w:val="nil"/>
                <w:between w:val="nil"/>
              </w:pBdr>
              <w:spacing w:after="0" w:line="259" w:lineRule="auto"/>
              <w:rPr>
                <w:color w:val="FF0000"/>
              </w:rPr>
            </w:pPr>
            <w:r>
              <w:rPr>
                <w:color w:val="FF0000"/>
              </w:rPr>
              <w:t xml:space="preserve">undertaking processes with families outlined in transition procedures </w:t>
            </w:r>
          </w:p>
          <w:p w14:paraId="79A054B3" w14:textId="77777777" w:rsidR="00B5777A" w:rsidRDefault="00B5777A" w:rsidP="00B5777A">
            <w:pPr>
              <w:numPr>
                <w:ilvl w:val="0"/>
                <w:numId w:val="41"/>
              </w:numPr>
              <w:pBdr>
                <w:top w:val="nil"/>
                <w:left w:val="nil"/>
                <w:bottom w:val="nil"/>
                <w:right w:val="nil"/>
                <w:between w:val="nil"/>
              </w:pBdr>
              <w:spacing w:after="0" w:line="259" w:lineRule="auto"/>
              <w:rPr>
                <w:color w:val="FF0000"/>
              </w:rPr>
            </w:pPr>
            <w:r>
              <w:rPr>
                <w:color w:val="FF0000"/>
              </w:rPr>
              <w:t>establishing professional relationships with local schools</w:t>
            </w:r>
          </w:p>
          <w:p w14:paraId="16DE5642" w14:textId="77777777" w:rsidR="00B5777A" w:rsidRDefault="00B5777A" w:rsidP="00B5777A">
            <w:pPr>
              <w:numPr>
                <w:ilvl w:val="0"/>
                <w:numId w:val="41"/>
              </w:numPr>
              <w:pBdr>
                <w:top w:val="nil"/>
                <w:left w:val="nil"/>
                <w:bottom w:val="nil"/>
                <w:right w:val="nil"/>
                <w:between w:val="nil"/>
              </w:pBdr>
              <w:spacing w:after="0" w:line="259" w:lineRule="auto"/>
              <w:rPr>
                <w:color w:val="FF0000"/>
              </w:rPr>
            </w:pPr>
            <w:r>
              <w:rPr>
                <w:color w:val="FF0000"/>
              </w:rPr>
              <w:t>visiting schools</w:t>
            </w:r>
          </w:p>
          <w:p w14:paraId="6A9FE5EF" w14:textId="77777777" w:rsidR="00B5777A" w:rsidRDefault="00B5777A" w:rsidP="00B5777A">
            <w:pPr>
              <w:numPr>
                <w:ilvl w:val="0"/>
                <w:numId w:val="41"/>
              </w:numPr>
              <w:pBdr>
                <w:top w:val="nil"/>
                <w:left w:val="nil"/>
                <w:bottom w:val="nil"/>
                <w:right w:val="nil"/>
                <w:between w:val="nil"/>
              </w:pBdr>
              <w:spacing w:after="0" w:line="259" w:lineRule="auto"/>
              <w:rPr>
                <w:color w:val="FF0000"/>
              </w:rPr>
            </w:pPr>
            <w:r>
              <w:rPr>
                <w:color w:val="FF0000"/>
              </w:rPr>
              <w:t>advising of inclusion support agencies/services for children transitioning with additional needs.</w:t>
            </w:r>
          </w:p>
          <w:p w14:paraId="4BC6729F" w14:textId="5376CB66" w:rsidR="00A93BCD" w:rsidRPr="0051497C" w:rsidRDefault="00A93BCD" w:rsidP="00194513">
            <w:pPr>
              <w:pBdr>
                <w:top w:val="nil"/>
                <w:left w:val="nil"/>
                <w:bottom w:val="nil"/>
                <w:right w:val="nil"/>
                <w:between w:val="nil"/>
              </w:pBdr>
              <w:spacing w:after="0" w:line="259" w:lineRule="auto"/>
              <w:rPr>
                <w:color w:val="FF0000"/>
              </w:rPr>
            </w:pP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2EF1672C" w:rsidR="003B74C5" w:rsidRPr="003B74C5" w:rsidRDefault="006230CA" w:rsidP="00B90E24">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C70935">
        <w:rPr>
          <w:rFonts w:ascii="HelveticaNeue-Thin" w:hAnsi="HelveticaNeue-Thin" w:cs="HelveticaNeue-Thin"/>
          <w:b/>
          <w:bCs/>
          <w:color w:val="010202"/>
        </w:rPr>
        <w:t>6</w:t>
      </w:r>
      <w:r w:rsidR="004144DC">
        <w:rPr>
          <w:rFonts w:ascii="HelveticaNeue-Thin" w:hAnsi="HelveticaNeue-Thin" w:cs="HelveticaNeue-Thin"/>
          <w:b/>
          <w:bCs/>
          <w:color w:val="010202"/>
        </w:rPr>
        <w:t>.</w:t>
      </w:r>
      <w:r w:rsidR="006A32AA">
        <w:rPr>
          <w:rFonts w:ascii="HelveticaNeue-Thin" w:hAnsi="HelveticaNeue-Thin" w:cs="HelveticaNeue-Thin"/>
          <w:b/>
          <w:bCs/>
          <w:color w:val="010202"/>
        </w:rPr>
        <w:t xml:space="preserve">2 </w:t>
      </w:r>
      <w:r w:rsidR="00B90E24" w:rsidRPr="00B90E24">
        <w:rPr>
          <w:rFonts w:ascii="HelveticaNeue-Thin" w:hAnsi="HelveticaNeue-Thin" w:cs="HelveticaNeue-Thin"/>
          <w:b/>
          <w:bCs/>
          <w:color w:val="010202"/>
        </w:rPr>
        <w:t>Collaborative</w:t>
      </w:r>
      <w:r w:rsidR="00B90E24">
        <w:rPr>
          <w:rFonts w:ascii="HelveticaNeue-Thin" w:hAnsi="HelveticaNeue-Thin" w:cs="HelveticaNeue-Thin"/>
          <w:b/>
          <w:bCs/>
          <w:color w:val="010202"/>
        </w:rPr>
        <w:t xml:space="preserve"> </w:t>
      </w:r>
      <w:r w:rsidR="00B90E24" w:rsidRPr="00B90E24">
        <w:rPr>
          <w:rFonts w:ascii="HelveticaNeue-Thin" w:hAnsi="HelveticaNeue-Thin" w:cs="HelveticaNeue-Thin"/>
          <w:b/>
          <w:bCs/>
          <w:color w:val="010202"/>
        </w:rPr>
        <w:t>Partnerships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1D3A9957" w:rsidR="00B0081A" w:rsidRDefault="008D4EE1" w:rsidP="00B0081A">
            <w:pPr>
              <w:spacing w:after="0"/>
              <w:jc w:val="both"/>
              <w:rPr>
                <w:rFonts w:cs="Arial"/>
              </w:rPr>
            </w:pPr>
            <w:r w:rsidRPr="00B0081A">
              <w:rPr>
                <w:rFonts w:cs="Arial"/>
              </w:rPr>
              <w:t xml:space="preserve">In the strength example for element </w:t>
            </w:r>
            <w:r w:rsidR="00B90E24">
              <w:rPr>
                <w:rFonts w:cs="Arial"/>
              </w:rPr>
              <w:t>6.2.1</w:t>
            </w:r>
            <w:r w:rsidR="00862DE6">
              <w:rPr>
                <w:rFonts w:cs="Arial"/>
              </w:rPr>
              <w:t xml:space="preserve"> </w:t>
            </w:r>
            <w:r w:rsidRPr="00B0081A">
              <w:rPr>
                <w:rFonts w:cs="Arial"/>
              </w:rPr>
              <w:t>we have identified the following exceeding theme indicators:</w:t>
            </w:r>
          </w:p>
          <w:p w14:paraId="4E7DC49D" w14:textId="6F1C75A3" w:rsidR="008D4EE1" w:rsidRPr="00E20089" w:rsidRDefault="00CF650E" w:rsidP="00BA0424">
            <w:pPr>
              <w:numPr>
                <w:ilvl w:val="0"/>
                <w:numId w:val="1"/>
              </w:numPr>
              <w:rPr>
                <w:rFonts w:cs="Arial"/>
                <w:iCs/>
              </w:rPr>
            </w:pPr>
            <w:r w:rsidRPr="00CF650E">
              <w:t>Educators systematically promote continuity of learning and effective transitions for each child</w:t>
            </w:r>
            <w:r w:rsidR="00F52D61">
              <w:t>.</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6EE760BC" w:rsidR="00A16148" w:rsidRDefault="008D4EE1" w:rsidP="002D52F5">
            <w:pPr>
              <w:spacing w:after="0"/>
            </w:pPr>
            <w:r w:rsidRPr="00B0081A">
              <w:t xml:space="preserve">In the strength example for element </w:t>
            </w:r>
            <w:r w:rsidR="00B90E24">
              <w:rPr>
                <w:rFonts w:cs="Arial"/>
              </w:rPr>
              <w:t xml:space="preserve">6.2.1 </w:t>
            </w:r>
            <w:r w:rsidRPr="00B0081A">
              <w:t>we have identified the following exceeding theme indicators:</w:t>
            </w:r>
            <w:r w:rsidR="00A16148" w:rsidRPr="00B0081A">
              <w:t xml:space="preserve"> </w:t>
            </w:r>
          </w:p>
          <w:p w14:paraId="79641D8F" w14:textId="59034E80" w:rsidR="00B0081A" w:rsidRPr="00E20089" w:rsidRDefault="00D53D09" w:rsidP="00405E26">
            <w:pPr>
              <w:numPr>
                <w:ilvl w:val="0"/>
                <w:numId w:val="1"/>
              </w:numPr>
              <w:spacing w:after="0"/>
              <w:rPr>
                <w:iCs/>
              </w:rPr>
            </w:pPr>
            <w:r w:rsidRPr="00D53D09">
              <w:rPr>
                <w:iCs/>
              </w:rPr>
              <w:t>Educators’ transition practices are consistent with practice theory, the approved learning framework/s, and the service’s policies and procedures.</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5EF88A98" w:rsidR="00317C21" w:rsidRDefault="008D4EE1" w:rsidP="00B0081A">
            <w:pPr>
              <w:spacing w:after="0"/>
            </w:pPr>
            <w:r w:rsidRPr="00B0081A">
              <w:t xml:space="preserve">In the strength example for element </w:t>
            </w:r>
            <w:r w:rsidR="00B90E24">
              <w:rPr>
                <w:rFonts w:cs="Arial"/>
              </w:rPr>
              <w:t xml:space="preserve">6.2.1 </w:t>
            </w:r>
            <w:r w:rsidRPr="00B0081A">
              <w:t>we have identified the following exceeding theme indicators:</w:t>
            </w:r>
          </w:p>
          <w:p w14:paraId="6FF3C3FB" w14:textId="14974EC2" w:rsidR="00B0081A" w:rsidRPr="006726C0" w:rsidRDefault="00385D8C" w:rsidP="007E14DC">
            <w:pPr>
              <w:numPr>
                <w:ilvl w:val="0"/>
                <w:numId w:val="32"/>
              </w:numPr>
              <w:rPr>
                <w:iCs/>
              </w:rPr>
            </w:pPr>
            <w:r w:rsidRPr="00385D8C">
              <w:rPr>
                <w:iCs/>
              </w:rPr>
              <w:t>Educators’ collaborative partnerships with families or the community supports children’s resilience and wellbeing during transitions.</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7"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5D7474"/>
    <w:multiLevelType w:val="multilevel"/>
    <w:tmpl w:val="8DDC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F4CFA"/>
    <w:multiLevelType w:val="multilevel"/>
    <w:tmpl w:val="CE86A63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0A144D3"/>
    <w:multiLevelType w:val="multilevel"/>
    <w:tmpl w:val="2792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18D1A27"/>
    <w:multiLevelType w:val="multilevel"/>
    <w:tmpl w:val="05F4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7E46B42"/>
    <w:multiLevelType w:val="multilevel"/>
    <w:tmpl w:val="2C0E7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2" w15:restartNumberingAfterBreak="0">
    <w:nsid w:val="4E153163"/>
    <w:multiLevelType w:val="multilevel"/>
    <w:tmpl w:val="B6FA0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87A08DA"/>
    <w:multiLevelType w:val="multilevel"/>
    <w:tmpl w:val="9386F3D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28F586B"/>
    <w:multiLevelType w:val="multilevel"/>
    <w:tmpl w:val="B7EE9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A5D16FE"/>
    <w:multiLevelType w:val="multilevel"/>
    <w:tmpl w:val="9CA63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28"/>
  </w:num>
  <w:num w:numId="2" w16cid:durableId="2047951240">
    <w:abstractNumId w:val="34"/>
  </w:num>
  <w:num w:numId="3" w16cid:durableId="677923796">
    <w:abstractNumId w:val="25"/>
  </w:num>
  <w:num w:numId="4" w16cid:durableId="764031647">
    <w:abstractNumId w:val="31"/>
  </w:num>
  <w:num w:numId="5" w16cid:durableId="941841055">
    <w:abstractNumId w:val="39"/>
  </w:num>
  <w:num w:numId="6" w16cid:durableId="1583756430">
    <w:abstractNumId w:val="17"/>
  </w:num>
  <w:num w:numId="7" w16cid:durableId="1628855747">
    <w:abstractNumId w:val="14"/>
  </w:num>
  <w:num w:numId="8" w16cid:durableId="1581257911">
    <w:abstractNumId w:val="1"/>
  </w:num>
  <w:num w:numId="9" w16cid:durableId="1779835487">
    <w:abstractNumId w:val="2"/>
  </w:num>
  <w:num w:numId="10" w16cid:durableId="920917211">
    <w:abstractNumId w:val="10"/>
  </w:num>
  <w:num w:numId="11" w16cid:durableId="1668485436">
    <w:abstractNumId w:val="29"/>
  </w:num>
  <w:num w:numId="12" w16cid:durableId="181669609">
    <w:abstractNumId w:val="30"/>
  </w:num>
  <w:num w:numId="13" w16cid:durableId="1749885825">
    <w:abstractNumId w:val="38"/>
  </w:num>
  <w:num w:numId="14" w16cid:durableId="276302035">
    <w:abstractNumId w:val="43"/>
  </w:num>
  <w:num w:numId="15" w16cid:durableId="818883266">
    <w:abstractNumId w:val="23"/>
  </w:num>
  <w:num w:numId="16" w16cid:durableId="1715689987">
    <w:abstractNumId w:val="40"/>
  </w:num>
  <w:num w:numId="17" w16cid:durableId="836337608">
    <w:abstractNumId w:val="4"/>
  </w:num>
  <w:num w:numId="18" w16cid:durableId="2104764159">
    <w:abstractNumId w:val="7"/>
  </w:num>
  <w:num w:numId="19" w16cid:durableId="876548312">
    <w:abstractNumId w:val="36"/>
  </w:num>
  <w:num w:numId="20" w16cid:durableId="1603605334">
    <w:abstractNumId w:val="15"/>
  </w:num>
  <w:num w:numId="21" w16cid:durableId="713507571">
    <w:abstractNumId w:val="6"/>
  </w:num>
  <w:num w:numId="22" w16cid:durableId="650211910">
    <w:abstractNumId w:val="24"/>
  </w:num>
  <w:num w:numId="23" w16cid:durableId="1958945801">
    <w:abstractNumId w:val="42"/>
  </w:num>
  <w:num w:numId="24" w16cid:durableId="528756863">
    <w:abstractNumId w:val="5"/>
  </w:num>
  <w:num w:numId="25" w16cid:durableId="455609949">
    <w:abstractNumId w:val="11"/>
  </w:num>
  <w:num w:numId="26" w16cid:durableId="1865484709">
    <w:abstractNumId w:val="13"/>
  </w:num>
  <w:num w:numId="27" w16cid:durableId="537427685">
    <w:abstractNumId w:val="0"/>
  </w:num>
  <w:num w:numId="28" w16cid:durableId="423494888">
    <w:abstractNumId w:val="33"/>
  </w:num>
  <w:num w:numId="29" w16cid:durableId="1675764481">
    <w:abstractNumId w:val="12"/>
  </w:num>
  <w:num w:numId="30" w16cid:durableId="64569135">
    <w:abstractNumId w:val="3"/>
  </w:num>
  <w:num w:numId="31" w16cid:durableId="475535588">
    <w:abstractNumId w:val="37"/>
  </w:num>
  <w:num w:numId="32" w16cid:durableId="782191672">
    <w:abstractNumId w:val="27"/>
  </w:num>
  <w:num w:numId="33" w16cid:durableId="1510679432">
    <w:abstractNumId w:val="22"/>
  </w:num>
  <w:num w:numId="34" w16cid:durableId="1912235038">
    <w:abstractNumId w:val="26"/>
  </w:num>
  <w:num w:numId="35" w16cid:durableId="1226380040">
    <w:abstractNumId w:val="21"/>
  </w:num>
  <w:num w:numId="36" w16cid:durableId="1085570105">
    <w:abstractNumId w:val="19"/>
  </w:num>
  <w:num w:numId="37" w16cid:durableId="151798293">
    <w:abstractNumId w:val="9"/>
  </w:num>
  <w:num w:numId="38" w16cid:durableId="415634888">
    <w:abstractNumId w:val="20"/>
  </w:num>
  <w:num w:numId="39" w16cid:durableId="762577756">
    <w:abstractNumId w:val="16"/>
  </w:num>
  <w:num w:numId="40" w16cid:durableId="1225987413">
    <w:abstractNumId w:val="35"/>
  </w:num>
  <w:num w:numId="41" w16cid:durableId="731854087">
    <w:abstractNumId w:val="41"/>
  </w:num>
  <w:num w:numId="42" w16cid:durableId="766272141">
    <w:abstractNumId w:val="44"/>
  </w:num>
  <w:num w:numId="43" w16cid:durableId="1918859461">
    <w:abstractNumId w:val="18"/>
  </w:num>
  <w:num w:numId="44" w16cid:durableId="1650597940">
    <w:abstractNumId w:val="32"/>
  </w:num>
  <w:num w:numId="45" w16cid:durableId="1237375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5CCA"/>
    <w:rsid w:val="000160DF"/>
    <w:rsid w:val="00016D4B"/>
    <w:rsid w:val="00017CAA"/>
    <w:rsid w:val="00022373"/>
    <w:rsid w:val="00025665"/>
    <w:rsid w:val="00026CB6"/>
    <w:rsid w:val="0003105E"/>
    <w:rsid w:val="00031283"/>
    <w:rsid w:val="0003165A"/>
    <w:rsid w:val="000339A3"/>
    <w:rsid w:val="00035EBC"/>
    <w:rsid w:val="00037A60"/>
    <w:rsid w:val="000454C1"/>
    <w:rsid w:val="00045E1F"/>
    <w:rsid w:val="0005176B"/>
    <w:rsid w:val="0005192E"/>
    <w:rsid w:val="00051D03"/>
    <w:rsid w:val="0005609F"/>
    <w:rsid w:val="00056BFD"/>
    <w:rsid w:val="00060D24"/>
    <w:rsid w:val="000619DE"/>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86F41"/>
    <w:rsid w:val="00090658"/>
    <w:rsid w:val="00091A4F"/>
    <w:rsid w:val="00093FB2"/>
    <w:rsid w:val="000945E9"/>
    <w:rsid w:val="000A11D1"/>
    <w:rsid w:val="000A158B"/>
    <w:rsid w:val="000A311A"/>
    <w:rsid w:val="000A3F19"/>
    <w:rsid w:val="000A51DE"/>
    <w:rsid w:val="000A7978"/>
    <w:rsid w:val="000B3CC4"/>
    <w:rsid w:val="000B64F8"/>
    <w:rsid w:val="000C0A30"/>
    <w:rsid w:val="000C1591"/>
    <w:rsid w:val="000C2FD4"/>
    <w:rsid w:val="000C3AC2"/>
    <w:rsid w:val="000D06A7"/>
    <w:rsid w:val="000D3CA2"/>
    <w:rsid w:val="000D5052"/>
    <w:rsid w:val="000E2B80"/>
    <w:rsid w:val="000E3819"/>
    <w:rsid w:val="000E5D82"/>
    <w:rsid w:val="000F0723"/>
    <w:rsid w:val="000F18D1"/>
    <w:rsid w:val="000F6C6E"/>
    <w:rsid w:val="001044EC"/>
    <w:rsid w:val="00104C5E"/>
    <w:rsid w:val="00105653"/>
    <w:rsid w:val="0010572E"/>
    <w:rsid w:val="00112C30"/>
    <w:rsid w:val="00112E42"/>
    <w:rsid w:val="001164FA"/>
    <w:rsid w:val="001217DD"/>
    <w:rsid w:val="00121F13"/>
    <w:rsid w:val="00123DCB"/>
    <w:rsid w:val="00124E4E"/>
    <w:rsid w:val="001251A9"/>
    <w:rsid w:val="001271F8"/>
    <w:rsid w:val="001324D5"/>
    <w:rsid w:val="00133413"/>
    <w:rsid w:val="00141A01"/>
    <w:rsid w:val="00151BDD"/>
    <w:rsid w:val="00153049"/>
    <w:rsid w:val="00154B17"/>
    <w:rsid w:val="00157AAF"/>
    <w:rsid w:val="00167F2F"/>
    <w:rsid w:val="00170A86"/>
    <w:rsid w:val="001726A6"/>
    <w:rsid w:val="00172A26"/>
    <w:rsid w:val="0017442A"/>
    <w:rsid w:val="00174938"/>
    <w:rsid w:val="00175F6E"/>
    <w:rsid w:val="00181B3D"/>
    <w:rsid w:val="00183D3F"/>
    <w:rsid w:val="0019424B"/>
    <w:rsid w:val="00194513"/>
    <w:rsid w:val="00196264"/>
    <w:rsid w:val="00197FA5"/>
    <w:rsid w:val="001A346C"/>
    <w:rsid w:val="001A45AA"/>
    <w:rsid w:val="001B236B"/>
    <w:rsid w:val="001B443E"/>
    <w:rsid w:val="001B71DB"/>
    <w:rsid w:val="001B74D4"/>
    <w:rsid w:val="001C210D"/>
    <w:rsid w:val="001C3341"/>
    <w:rsid w:val="001C4694"/>
    <w:rsid w:val="001C730C"/>
    <w:rsid w:val="001D0426"/>
    <w:rsid w:val="001D070B"/>
    <w:rsid w:val="001D2A37"/>
    <w:rsid w:val="001D2BE0"/>
    <w:rsid w:val="001D5641"/>
    <w:rsid w:val="001D7190"/>
    <w:rsid w:val="001E0610"/>
    <w:rsid w:val="001E3301"/>
    <w:rsid w:val="001E3EFD"/>
    <w:rsid w:val="001F01B8"/>
    <w:rsid w:val="001F0D09"/>
    <w:rsid w:val="001F0F7A"/>
    <w:rsid w:val="001F298F"/>
    <w:rsid w:val="001F33C6"/>
    <w:rsid w:val="001F51C8"/>
    <w:rsid w:val="00204C60"/>
    <w:rsid w:val="00204F34"/>
    <w:rsid w:val="00206043"/>
    <w:rsid w:val="00213962"/>
    <w:rsid w:val="002145F2"/>
    <w:rsid w:val="00220DB8"/>
    <w:rsid w:val="00225C3A"/>
    <w:rsid w:val="00226EC6"/>
    <w:rsid w:val="00226FD0"/>
    <w:rsid w:val="00232167"/>
    <w:rsid w:val="0023383B"/>
    <w:rsid w:val="00233850"/>
    <w:rsid w:val="00233DE0"/>
    <w:rsid w:val="00235EE6"/>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2EA8"/>
    <w:rsid w:val="00283334"/>
    <w:rsid w:val="00284EE5"/>
    <w:rsid w:val="00290FD7"/>
    <w:rsid w:val="002943AD"/>
    <w:rsid w:val="0029517A"/>
    <w:rsid w:val="0029693D"/>
    <w:rsid w:val="002A3DDC"/>
    <w:rsid w:val="002A5EB8"/>
    <w:rsid w:val="002B13DA"/>
    <w:rsid w:val="002B3BF8"/>
    <w:rsid w:val="002B4F73"/>
    <w:rsid w:val="002B7929"/>
    <w:rsid w:val="002B7E22"/>
    <w:rsid w:val="002C13CB"/>
    <w:rsid w:val="002C6EF8"/>
    <w:rsid w:val="002D0BD7"/>
    <w:rsid w:val="002D4100"/>
    <w:rsid w:val="002D52F5"/>
    <w:rsid w:val="002D5CE8"/>
    <w:rsid w:val="002D6F4E"/>
    <w:rsid w:val="002E0BB0"/>
    <w:rsid w:val="002E0DE0"/>
    <w:rsid w:val="002E1D13"/>
    <w:rsid w:val="002F3B5C"/>
    <w:rsid w:val="002F63CF"/>
    <w:rsid w:val="00300E2B"/>
    <w:rsid w:val="00305799"/>
    <w:rsid w:val="003075EE"/>
    <w:rsid w:val="003135F4"/>
    <w:rsid w:val="0031630F"/>
    <w:rsid w:val="00317C21"/>
    <w:rsid w:val="003213A8"/>
    <w:rsid w:val="00324719"/>
    <w:rsid w:val="003258B2"/>
    <w:rsid w:val="0032655B"/>
    <w:rsid w:val="003326FA"/>
    <w:rsid w:val="00333320"/>
    <w:rsid w:val="003348A2"/>
    <w:rsid w:val="003356EF"/>
    <w:rsid w:val="00343503"/>
    <w:rsid w:val="0034477A"/>
    <w:rsid w:val="00344B26"/>
    <w:rsid w:val="00344F31"/>
    <w:rsid w:val="00346016"/>
    <w:rsid w:val="0034640E"/>
    <w:rsid w:val="00352B4D"/>
    <w:rsid w:val="00356B44"/>
    <w:rsid w:val="00360213"/>
    <w:rsid w:val="00363C24"/>
    <w:rsid w:val="00364EC5"/>
    <w:rsid w:val="00367E38"/>
    <w:rsid w:val="003713DA"/>
    <w:rsid w:val="00371FE4"/>
    <w:rsid w:val="003723E1"/>
    <w:rsid w:val="00373034"/>
    <w:rsid w:val="00375163"/>
    <w:rsid w:val="003760AF"/>
    <w:rsid w:val="00376B51"/>
    <w:rsid w:val="00376DA0"/>
    <w:rsid w:val="00380006"/>
    <w:rsid w:val="0038516C"/>
    <w:rsid w:val="00385D8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5235"/>
    <w:rsid w:val="003B74C5"/>
    <w:rsid w:val="003C1F46"/>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05E26"/>
    <w:rsid w:val="0041144B"/>
    <w:rsid w:val="004144DC"/>
    <w:rsid w:val="00422A8D"/>
    <w:rsid w:val="00423D77"/>
    <w:rsid w:val="00424B8F"/>
    <w:rsid w:val="004268F1"/>
    <w:rsid w:val="0042697A"/>
    <w:rsid w:val="00430C07"/>
    <w:rsid w:val="00431132"/>
    <w:rsid w:val="004320E0"/>
    <w:rsid w:val="00433A67"/>
    <w:rsid w:val="00437832"/>
    <w:rsid w:val="00442439"/>
    <w:rsid w:val="00444321"/>
    <w:rsid w:val="00445216"/>
    <w:rsid w:val="004454E4"/>
    <w:rsid w:val="004500CC"/>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6B81"/>
    <w:rsid w:val="005075A5"/>
    <w:rsid w:val="0051497C"/>
    <w:rsid w:val="00516B27"/>
    <w:rsid w:val="005221D1"/>
    <w:rsid w:val="005241E0"/>
    <w:rsid w:val="00525761"/>
    <w:rsid w:val="0052684B"/>
    <w:rsid w:val="00526C15"/>
    <w:rsid w:val="00533F98"/>
    <w:rsid w:val="0053583E"/>
    <w:rsid w:val="00535AA7"/>
    <w:rsid w:val="0054089A"/>
    <w:rsid w:val="00543B96"/>
    <w:rsid w:val="0055403C"/>
    <w:rsid w:val="00555503"/>
    <w:rsid w:val="00556D44"/>
    <w:rsid w:val="005628D0"/>
    <w:rsid w:val="00562FA4"/>
    <w:rsid w:val="0056401C"/>
    <w:rsid w:val="00564EC3"/>
    <w:rsid w:val="0057036B"/>
    <w:rsid w:val="00572070"/>
    <w:rsid w:val="0057302A"/>
    <w:rsid w:val="00582E98"/>
    <w:rsid w:val="005843A0"/>
    <w:rsid w:val="00586927"/>
    <w:rsid w:val="00587009"/>
    <w:rsid w:val="00587A0D"/>
    <w:rsid w:val="005935DC"/>
    <w:rsid w:val="00594EBE"/>
    <w:rsid w:val="00595ED2"/>
    <w:rsid w:val="00597244"/>
    <w:rsid w:val="005A4390"/>
    <w:rsid w:val="005B0F67"/>
    <w:rsid w:val="005B1694"/>
    <w:rsid w:val="005B3DB3"/>
    <w:rsid w:val="005B45F2"/>
    <w:rsid w:val="005C0417"/>
    <w:rsid w:val="005C084A"/>
    <w:rsid w:val="005C4079"/>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3E3C"/>
    <w:rsid w:val="00615B46"/>
    <w:rsid w:val="0062209C"/>
    <w:rsid w:val="006230CA"/>
    <w:rsid w:val="00627E3B"/>
    <w:rsid w:val="006312D2"/>
    <w:rsid w:val="006350E8"/>
    <w:rsid w:val="00635DD2"/>
    <w:rsid w:val="0064045B"/>
    <w:rsid w:val="00641F65"/>
    <w:rsid w:val="00642E63"/>
    <w:rsid w:val="006432EE"/>
    <w:rsid w:val="00645857"/>
    <w:rsid w:val="00655EB3"/>
    <w:rsid w:val="0065781C"/>
    <w:rsid w:val="00657A0E"/>
    <w:rsid w:val="00661670"/>
    <w:rsid w:val="006637BC"/>
    <w:rsid w:val="006647FC"/>
    <w:rsid w:val="006648FD"/>
    <w:rsid w:val="006666F7"/>
    <w:rsid w:val="00666BB7"/>
    <w:rsid w:val="00670AD5"/>
    <w:rsid w:val="006726C0"/>
    <w:rsid w:val="006726FC"/>
    <w:rsid w:val="00673A0C"/>
    <w:rsid w:val="00675968"/>
    <w:rsid w:val="00680B99"/>
    <w:rsid w:val="00680BB2"/>
    <w:rsid w:val="00682AC5"/>
    <w:rsid w:val="00682D12"/>
    <w:rsid w:val="0068332A"/>
    <w:rsid w:val="006854E1"/>
    <w:rsid w:val="00685999"/>
    <w:rsid w:val="00686EBD"/>
    <w:rsid w:val="006949BC"/>
    <w:rsid w:val="006954B0"/>
    <w:rsid w:val="006A1A26"/>
    <w:rsid w:val="006A32AA"/>
    <w:rsid w:val="006A46AF"/>
    <w:rsid w:val="006A50CA"/>
    <w:rsid w:val="006A5B59"/>
    <w:rsid w:val="006A6A82"/>
    <w:rsid w:val="006B5D09"/>
    <w:rsid w:val="006B763B"/>
    <w:rsid w:val="006B7D9A"/>
    <w:rsid w:val="006B7FDD"/>
    <w:rsid w:val="006C2153"/>
    <w:rsid w:val="006C24B4"/>
    <w:rsid w:val="006C366A"/>
    <w:rsid w:val="006C425A"/>
    <w:rsid w:val="006C6894"/>
    <w:rsid w:val="006D39AB"/>
    <w:rsid w:val="006E039B"/>
    <w:rsid w:val="006E20AC"/>
    <w:rsid w:val="006E3153"/>
    <w:rsid w:val="006E431E"/>
    <w:rsid w:val="006E6F78"/>
    <w:rsid w:val="006F3FD1"/>
    <w:rsid w:val="006F4E86"/>
    <w:rsid w:val="0070014D"/>
    <w:rsid w:val="00703AA3"/>
    <w:rsid w:val="00704AE3"/>
    <w:rsid w:val="00706222"/>
    <w:rsid w:val="00706B59"/>
    <w:rsid w:val="00706FBD"/>
    <w:rsid w:val="00707D4C"/>
    <w:rsid w:val="007101A6"/>
    <w:rsid w:val="007101B3"/>
    <w:rsid w:val="00711A9F"/>
    <w:rsid w:val="00711B47"/>
    <w:rsid w:val="00713D9B"/>
    <w:rsid w:val="00716498"/>
    <w:rsid w:val="00721499"/>
    <w:rsid w:val="00721966"/>
    <w:rsid w:val="00721984"/>
    <w:rsid w:val="00722987"/>
    <w:rsid w:val="00722FEB"/>
    <w:rsid w:val="00724641"/>
    <w:rsid w:val="00727CDC"/>
    <w:rsid w:val="007314DB"/>
    <w:rsid w:val="00732F54"/>
    <w:rsid w:val="00734201"/>
    <w:rsid w:val="00740287"/>
    <w:rsid w:val="007404B7"/>
    <w:rsid w:val="00740FED"/>
    <w:rsid w:val="00742191"/>
    <w:rsid w:val="007543B2"/>
    <w:rsid w:val="00754661"/>
    <w:rsid w:val="00754BBF"/>
    <w:rsid w:val="00755017"/>
    <w:rsid w:val="00756BE4"/>
    <w:rsid w:val="007611C1"/>
    <w:rsid w:val="00761EAA"/>
    <w:rsid w:val="00761EC1"/>
    <w:rsid w:val="00764175"/>
    <w:rsid w:val="007658AB"/>
    <w:rsid w:val="00765AE8"/>
    <w:rsid w:val="007679B4"/>
    <w:rsid w:val="0077080D"/>
    <w:rsid w:val="00773043"/>
    <w:rsid w:val="00774416"/>
    <w:rsid w:val="00774544"/>
    <w:rsid w:val="0077504B"/>
    <w:rsid w:val="007757E8"/>
    <w:rsid w:val="00776C99"/>
    <w:rsid w:val="0078052F"/>
    <w:rsid w:val="0078227D"/>
    <w:rsid w:val="007834AC"/>
    <w:rsid w:val="00785715"/>
    <w:rsid w:val="00785EF1"/>
    <w:rsid w:val="00786889"/>
    <w:rsid w:val="00786B20"/>
    <w:rsid w:val="00786BB5"/>
    <w:rsid w:val="00790A8D"/>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7257"/>
    <w:rsid w:val="007C7D64"/>
    <w:rsid w:val="007D19FF"/>
    <w:rsid w:val="007D47F3"/>
    <w:rsid w:val="007D726B"/>
    <w:rsid w:val="007E14DC"/>
    <w:rsid w:val="007E1B14"/>
    <w:rsid w:val="007E30B6"/>
    <w:rsid w:val="007E3D7C"/>
    <w:rsid w:val="007E7D09"/>
    <w:rsid w:val="007F12C2"/>
    <w:rsid w:val="007F1401"/>
    <w:rsid w:val="007F216B"/>
    <w:rsid w:val="00801082"/>
    <w:rsid w:val="00805B51"/>
    <w:rsid w:val="00810A25"/>
    <w:rsid w:val="00812139"/>
    <w:rsid w:val="008135CE"/>
    <w:rsid w:val="00813870"/>
    <w:rsid w:val="00814A74"/>
    <w:rsid w:val="00814A8C"/>
    <w:rsid w:val="00814B93"/>
    <w:rsid w:val="00821FE5"/>
    <w:rsid w:val="008221C9"/>
    <w:rsid w:val="00825382"/>
    <w:rsid w:val="008258F0"/>
    <w:rsid w:val="00826FA6"/>
    <w:rsid w:val="00827D1F"/>
    <w:rsid w:val="00831266"/>
    <w:rsid w:val="00832EEC"/>
    <w:rsid w:val="00833D2B"/>
    <w:rsid w:val="00836869"/>
    <w:rsid w:val="00841175"/>
    <w:rsid w:val="0084209F"/>
    <w:rsid w:val="0084420F"/>
    <w:rsid w:val="0085247F"/>
    <w:rsid w:val="00853945"/>
    <w:rsid w:val="00854ADB"/>
    <w:rsid w:val="00854D8A"/>
    <w:rsid w:val="00855049"/>
    <w:rsid w:val="00855926"/>
    <w:rsid w:val="00860572"/>
    <w:rsid w:val="0086083D"/>
    <w:rsid w:val="00861F0C"/>
    <w:rsid w:val="008629B9"/>
    <w:rsid w:val="00862DE6"/>
    <w:rsid w:val="0086552F"/>
    <w:rsid w:val="00866DF8"/>
    <w:rsid w:val="00866E15"/>
    <w:rsid w:val="0087344C"/>
    <w:rsid w:val="00874BA9"/>
    <w:rsid w:val="0088143B"/>
    <w:rsid w:val="008871F4"/>
    <w:rsid w:val="008962A8"/>
    <w:rsid w:val="0089659D"/>
    <w:rsid w:val="008968E3"/>
    <w:rsid w:val="00897A50"/>
    <w:rsid w:val="008A02D5"/>
    <w:rsid w:val="008A08D2"/>
    <w:rsid w:val="008A31AC"/>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6B34"/>
    <w:rsid w:val="008D7C61"/>
    <w:rsid w:val="008E3590"/>
    <w:rsid w:val="008E4FCA"/>
    <w:rsid w:val="008E587A"/>
    <w:rsid w:val="008E7B62"/>
    <w:rsid w:val="008F243D"/>
    <w:rsid w:val="008F3E99"/>
    <w:rsid w:val="00900B3F"/>
    <w:rsid w:val="00900DEE"/>
    <w:rsid w:val="00901206"/>
    <w:rsid w:val="009017CC"/>
    <w:rsid w:val="00902F29"/>
    <w:rsid w:val="0090377D"/>
    <w:rsid w:val="009038A0"/>
    <w:rsid w:val="00904450"/>
    <w:rsid w:val="00911663"/>
    <w:rsid w:val="009149D3"/>
    <w:rsid w:val="00914F9D"/>
    <w:rsid w:val="00917C3E"/>
    <w:rsid w:val="009255B0"/>
    <w:rsid w:val="009260E3"/>
    <w:rsid w:val="009306A2"/>
    <w:rsid w:val="00931767"/>
    <w:rsid w:val="00934C30"/>
    <w:rsid w:val="00935E5E"/>
    <w:rsid w:val="00937DAA"/>
    <w:rsid w:val="0094384C"/>
    <w:rsid w:val="00946361"/>
    <w:rsid w:val="0095059F"/>
    <w:rsid w:val="00952F13"/>
    <w:rsid w:val="00955648"/>
    <w:rsid w:val="009570BB"/>
    <w:rsid w:val="00963E38"/>
    <w:rsid w:val="00966A5B"/>
    <w:rsid w:val="00970BD6"/>
    <w:rsid w:val="00973115"/>
    <w:rsid w:val="00974145"/>
    <w:rsid w:val="009742F7"/>
    <w:rsid w:val="00975A60"/>
    <w:rsid w:val="009761CB"/>
    <w:rsid w:val="009772C4"/>
    <w:rsid w:val="009822EF"/>
    <w:rsid w:val="00982C68"/>
    <w:rsid w:val="00987ECA"/>
    <w:rsid w:val="00992DEA"/>
    <w:rsid w:val="00993651"/>
    <w:rsid w:val="00993BDE"/>
    <w:rsid w:val="00997052"/>
    <w:rsid w:val="009A05E5"/>
    <w:rsid w:val="009A1A41"/>
    <w:rsid w:val="009A32B5"/>
    <w:rsid w:val="009A4869"/>
    <w:rsid w:val="009A5DBF"/>
    <w:rsid w:val="009B0B22"/>
    <w:rsid w:val="009B4161"/>
    <w:rsid w:val="009B5B52"/>
    <w:rsid w:val="009B5D08"/>
    <w:rsid w:val="009C1149"/>
    <w:rsid w:val="009C16D7"/>
    <w:rsid w:val="009C7131"/>
    <w:rsid w:val="009D1CB0"/>
    <w:rsid w:val="009D4AAF"/>
    <w:rsid w:val="009D6827"/>
    <w:rsid w:val="009D6C80"/>
    <w:rsid w:val="009D7610"/>
    <w:rsid w:val="009E0A48"/>
    <w:rsid w:val="009E131A"/>
    <w:rsid w:val="009E27D0"/>
    <w:rsid w:val="009E47BF"/>
    <w:rsid w:val="009E5F7C"/>
    <w:rsid w:val="009E6971"/>
    <w:rsid w:val="009F0240"/>
    <w:rsid w:val="009F0C94"/>
    <w:rsid w:val="009F4FD5"/>
    <w:rsid w:val="009F7B13"/>
    <w:rsid w:val="00A00AB7"/>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9D9"/>
    <w:rsid w:val="00A34FE4"/>
    <w:rsid w:val="00A3503E"/>
    <w:rsid w:val="00A44CF8"/>
    <w:rsid w:val="00A459FF"/>
    <w:rsid w:val="00A46767"/>
    <w:rsid w:val="00A473BC"/>
    <w:rsid w:val="00A5063A"/>
    <w:rsid w:val="00A52014"/>
    <w:rsid w:val="00A52B1A"/>
    <w:rsid w:val="00A543C3"/>
    <w:rsid w:val="00A543E4"/>
    <w:rsid w:val="00A57645"/>
    <w:rsid w:val="00A64C08"/>
    <w:rsid w:val="00A723A6"/>
    <w:rsid w:val="00A74930"/>
    <w:rsid w:val="00A749BE"/>
    <w:rsid w:val="00A75237"/>
    <w:rsid w:val="00A77060"/>
    <w:rsid w:val="00A77809"/>
    <w:rsid w:val="00A8041D"/>
    <w:rsid w:val="00A80F61"/>
    <w:rsid w:val="00A85FA0"/>
    <w:rsid w:val="00A90CEB"/>
    <w:rsid w:val="00A93BCD"/>
    <w:rsid w:val="00A96A3B"/>
    <w:rsid w:val="00AA17F2"/>
    <w:rsid w:val="00AA335E"/>
    <w:rsid w:val="00AA453B"/>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40C4"/>
    <w:rsid w:val="00AD45BB"/>
    <w:rsid w:val="00AE0846"/>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5C52"/>
    <w:rsid w:val="00B25F3C"/>
    <w:rsid w:val="00B27225"/>
    <w:rsid w:val="00B32C03"/>
    <w:rsid w:val="00B33BD6"/>
    <w:rsid w:val="00B346E4"/>
    <w:rsid w:val="00B347E5"/>
    <w:rsid w:val="00B34F39"/>
    <w:rsid w:val="00B40586"/>
    <w:rsid w:val="00B42004"/>
    <w:rsid w:val="00B43418"/>
    <w:rsid w:val="00B43553"/>
    <w:rsid w:val="00B4540E"/>
    <w:rsid w:val="00B463E3"/>
    <w:rsid w:val="00B46BDE"/>
    <w:rsid w:val="00B471F8"/>
    <w:rsid w:val="00B47C1D"/>
    <w:rsid w:val="00B505AB"/>
    <w:rsid w:val="00B5391E"/>
    <w:rsid w:val="00B5777A"/>
    <w:rsid w:val="00B57E7F"/>
    <w:rsid w:val="00B63C01"/>
    <w:rsid w:val="00B640D6"/>
    <w:rsid w:val="00B7442D"/>
    <w:rsid w:val="00B75504"/>
    <w:rsid w:val="00B75C8F"/>
    <w:rsid w:val="00B80598"/>
    <w:rsid w:val="00B821CC"/>
    <w:rsid w:val="00B86A49"/>
    <w:rsid w:val="00B87EA3"/>
    <w:rsid w:val="00B90E24"/>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E71D8"/>
    <w:rsid w:val="00BF1192"/>
    <w:rsid w:val="00BF1FA2"/>
    <w:rsid w:val="00BF22F1"/>
    <w:rsid w:val="00BF234B"/>
    <w:rsid w:val="00BF3112"/>
    <w:rsid w:val="00BF4E2C"/>
    <w:rsid w:val="00C0188B"/>
    <w:rsid w:val="00C02426"/>
    <w:rsid w:val="00C05549"/>
    <w:rsid w:val="00C05908"/>
    <w:rsid w:val="00C05F5F"/>
    <w:rsid w:val="00C107A5"/>
    <w:rsid w:val="00C12177"/>
    <w:rsid w:val="00C121AB"/>
    <w:rsid w:val="00C1345E"/>
    <w:rsid w:val="00C1552F"/>
    <w:rsid w:val="00C16228"/>
    <w:rsid w:val="00C17D55"/>
    <w:rsid w:val="00C20921"/>
    <w:rsid w:val="00C2212A"/>
    <w:rsid w:val="00C305A6"/>
    <w:rsid w:val="00C30F04"/>
    <w:rsid w:val="00C41079"/>
    <w:rsid w:val="00C45742"/>
    <w:rsid w:val="00C50915"/>
    <w:rsid w:val="00C51881"/>
    <w:rsid w:val="00C52E0B"/>
    <w:rsid w:val="00C53689"/>
    <w:rsid w:val="00C551B8"/>
    <w:rsid w:val="00C57069"/>
    <w:rsid w:val="00C579C3"/>
    <w:rsid w:val="00C57F38"/>
    <w:rsid w:val="00C6324A"/>
    <w:rsid w:val="00C66C45"/>
    <w:rsid w:val="00C70935"/>
    <w:rsid w:val="00C72AC5"/>
    <w:rsid w:val="00C7454C"/>
    <w:rsid w:val="00C75D2C"/>
    <w:rsid w:val="00C773CF"/>
    <w:rsid w:val="00C8413D"/>
    <w:rsid w:val="00C84374"/>
    <w:rsid w:val="00C849DD"/>
    <w:rsid w:val="00C8709F"/>
    <w:rsid w:val="00C872C1"/>
    <w:rsid w:val="00C94DF1"/>
    <w:rsid w:val="00C9694E"/>
    <w:rsid w:val="00CA0721"/>
    <w:rsid w:val="00CA5AFE"/>
    <w:rsid w:val="00CA6493"/>
    <w:rsid w:val="00CA67B0"/>
    <w:rsid w:val="00CB1672"/>
    <w:rsid w:val="00CB5BF2"/>
    <w:rsid w:val="00CB76B9"/>
    <w:rsid w:val="00CC2360"/>
    <w:rsid w:val="00CC4231"/>
    <w:rsid w:val="00CC496B"/>
    <w:rsid w:val="00CC4D3E"/>
    <w:rsid w:val="00CC5FA9"/>
    <w:rsid w:val="00CC7B75"/>
    <w:rsid w:val="00CD1F17"/>
    <w:rsid w:val="00CD1F6F"/>
    <w:rsid w:val="00CD28AC"/>
    <w:rsid w:val="00CD32A7"/>
    <w:rsid w:val="00CD791A"/>
    <w:rsid w:val="00CE1416"/>
    <w:rsid w:val="00CE1AD8"/>
    <w:rsid w:val="00CE2F96"/>
    <w:rsid w:val="00CE3856"/>
    <w:rsid w:val="00CE3C2D"/>
    <w:rsid w:val="00CE5BF4"/>
    <w:rsid w:val="00CE7F01"/>
    <w:rsid w:val="00CF3931"/>
    <w:rsid w:val="00CF4465"/>
    <w:rsid w:val="00CF5F2F"/>
    <w:rsid w:val="00CF650E"/>
    <w:rsid w:val="00CF677C"/>
    <w:rsid w:val="00CF74C0"/>
    <w:rsid w:val="00D015DC"/>
    <w:rsid w:val="00D01A73"/>
    <w:rsid w:val="00D01C9F"/>
    <w:rsid w:val="00D01CF9"/>
    <w:rsid w:val="00D04580"/>
    <w:rsid w:val="00D04CFC"/>
    <w:rsid w:val="00D06470"/>
    <w:rsid w:val="00D06696"/>
    <w:rsid w:val="00D0741D"/>
    <w:rsid w:val="00D107F3"/>
    <w:rsid w:val="00D11C9C"/>
    <w:rsid w:val="00D1525E"/>
    <w:rsid w:val="00D20C61"/>
    <w:rsid w:val="00D22FC8"/>
    <w:rsid w:val="00D239F0"/>
    <w:rsid w:val="00D26DAD"/>
    <w:rsid w:val="00D3166F"/>
    <w:rsid w:val="00D31BE2"/>
    <w:rsid w:val="00D34E0E"/>
    <w:rsid w:val="00D40EAE"/>
    <w:rsid w:val="00D412AB"/>
    <w:rsid w:val="00D445F9"/>
    <w:rsid w:val="00D47770"/>
    <w:rsid w:val="00D52E9F"/>
    <w:rsid w:val="00D5386C"/>
    <w:rsid w:val="00D53D09"/>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2F4D"/>
    <w:rsid w:val="00DA4192"/>
    <w:rsid w:val="00DA5119"/>
    <w:rsid w:val="00DA5A4C"/>
    <w:rsid w:val="00DA5AE5"/>
    <w:rsid w:val="00DA5C23"/>
    <w:rsid w:val="00DA7460"/>
    <w:rsid w:val="00DB3A0C"/>
    <w:rsid w:val="00DC0121"/>
    <w:rsid w:val="00DC1738"/>
    <w:rsid w:val="00DC5ABF"/>
    <w:rsid w:val="00DD5045"/>
    <w:rsid w:val="00DD7E20"/>
    <w:rsid w:val="00DE00FB"/>
    <w:rsid w:val="00DE1975"/>
    <w:rsid w:val="00DE2F13"/>
    <w:rsid w:val="00DE3768"/>
    <w:rsid w:val="00DE4CD4"/>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17594"/>
    <w:rsid w:val="00E20089"/>
    <w:rsid w:val="00E20094"/>
    <w:rsid w:val="00E24624"/>
    <w:rsid w:val="00E2620E"/>
    <w:rsid w:val="00E266D7"/>
    <w:rsid w:val="00E267B3"/>
    <w:rsid w:val="00E35359"/>
    <w:rsid w:val="00E35C2D"/>
    <w:rsid w:val="00E36479"/>
    <w:rsid w:val="00E36D48"/>
    <w:rsid w:val="00E377DD"/>
    <w:rsid w:val="00E42632"/>
    <w:rsid w:val="00E4274D"/>
    <w:rsid w:val="00E4571D"/>
    <w:rsid w:val="00E5060A"/>
    <w:rsid w:val="00E55537"/>
    <w:rsid w:val="00E57888"/>
    <w:rsid w:val="00E57A01"/>
    <w:rsid w:val="00E63125"/>
    <w:rsid w:val="00E7045F"/>
    <w:rsid w:val="00E73ED8"/>
    <w:rsid w:val="00E77664"/>
    <w:rsid w:val="00E825CF"/>
    <w:rsid w:val="00E864AB"/>
    <w:rsid w:val="00E94017"/>
    <w:rsid w:val="00E944A5"/>
    <w:rsid w:val="00E96BD9"/>
    <w:rsid w:val="00E96F57"/>
    <w:rsid w:val="00EA277B"/>
    <w:rsid w:val="00EA5602"/>
    <w:rsid w:val="00EA63A6"/>
    <w:rsid w:val="00EA7D8E"/>
    <w:rsid w:val="00EB0EF4"/>
    <w:rsid w:val="00EB22F4"/>
    <w:rsid w:val="00EB50B4"/>
    <w:rsid w:val="00EB779D"/>
    <w:rsid w:val="00EC0343"/>
    <w:rsid w:val="00EC1E68"/>
    <w:rsid w:val="00EC21CA"/>
    <w:rsid w:val="00EC6860"/>
    <w:rsid w:val="00ED0F45"/>
    <w:rsid w:val="00ED31CF"/>
    <w:rsid w:val="00ED5D31"/>
    <w:rsid w:val="00EE3AB1"/>
    <w:rsid w:val="00EE633C"/>
    <w:rsid w:val="00EF24BE"/>
    <w:rsid w:val="00EF2848"/>
    <w:rsid w:val="00EF3D4E"/>
    <w:rsid w:val="00EF7925"/>
    <w:rsid w:val="00EF7CA1"/>
    <w:rsid w:val="00F00973"/>
    <w:rsid w:val="00F00E86"/>
    <w:rsid w:val="00F00ECE"/>
    <w:rsid w:val="00F01BFC"/>
    <w:rsid w:val="00F01F9B"/>
    <w:rsid w:val="00F02CA9"/>
    <w:rsid w:val="00F04BBF"/>
    <w:rsid w:val="00F04F9A"/>
    <w:rsid w:val="00F11897"/>
    <w:rsid w:val="00F12EDB"/>
    <w:rsid w:val="00F13D6B"/>
    <w:rsid w:val="00F20781"/>
    <w:rsid w:val="00F20FEC"/>
    <w:rsid w:val="00F22ABB"/>
    <w:rsid w:val="00F23825"/>
    <w:rsid w:val="00F2443E"/>
    <w:rsid w:val="00F25669"/>
    <w:rsid w:val="00F3470C"/>
    <w:rsid w:val="00F3673B"/>
    <w:rsid w:val="00F40751"/>
    <w:rsid w:val="00F41E89"/>
    <w:rsid w:val="00F42DC3"/>
    <w:rsid w:val="00F455A7"/>
    <w:rsid w:val="00F47E92"/>
    <w:rsid w:val="00F52656"/>
    <w:rsid w:val="00F52D61"/>
    <w:rsid w:val="00F558DD"/>
    <w:rsid w:val="00F6061B"/>
    <w:rsid w:val="00F67229"/>
    <w:rsid w:val="00F67385"/>
    <w:rsid w:val="00F70555"/>
    <w:rsid w:val="00F70ADF"/>
    <w:rsid w:val="00F720E3"/>
    <w:rsid w:val="00F728A4"/>
    <w:rsid w:val="00F7740F"/>
    <w:rsid w:val="00F80178"/>
    <w:rsid w:val="00F810DF"/>
    <w:rsid w:val="00F90E2B"/>
    <w:rsid w:val="00F90FB6"/>
    <w:rsid w:val="00F925EF"/>
    <w:rsid w:val="00F92DDA"/>
    <w:rsid w:val="00F955C8"/>
    <w:rsid w:val="00FA2FC6"/>
    <w:rsid w:val="00FA5306"/>
    <w:rsid w:val="00FA536C"/>
    <w:rsid w:val="00FA5DB1"/>
    <w:rsid w:val="00FA6F8F"/>
    <w:rsid w:val="00FB0097"/>
    <w:rsid w:val="00FB0C7D"/>
    <w:rsid w:val="00FB1FDB"/>
    <w:rsid w:val="00FB5889"/>
    <w:rsid w:val="00FB5BF7"/>
    <w:rsid w:val="00FC2A9A"/>
    <w:rsid w:val="00FC2C06"/>
    <w:rsid w:val="00FC39DC"/>
    <w:rsid w:val="00FC67A5"/>
    <w:rsid w:val="00FD05E0"/>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149642112">
      <w:bodyDiv w:val="1"/>
      <w:marLeft w:val="0"/>
      <w:marRight w:val="0"/>
      <w:marTop w:val="0"/>
      <w:marBottom w:val="0"/>
      <w:divBdr>
        <w:top w:val="none" w:sz="0" w:space="0" w:color="auto"/>
        <w:left w:val="none" w:sz="0" w:space="0" w:color="auto"/>
        <w:bottom w:val="none" w:sz="0" w:space="0" w:color="auto"/>
        <w:right w:val="none" w:sz="0" w:space="0" w:color="auto"/>
      </w:divBdr>
    </w:div>
    <w:div w:id="157549264">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06627960">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05887026">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39254772">
      <w:bodyDiv w:val="1"/>
      <w:marLeft w:val="0"/>
      <w:marRight w:val="0"/>
      <w:marTop w:val="0"/>
      <w:marBottom w:val="0"/>
      <w:divBdr>
        <w:top w:val="none" w:sz="0" w:space="0" w:color="auto"/>
        <w:left w:val="none" w:sz="0" w:space="0" w:color="auto"/>
        <w:bottom w:val="none" w:sz="0" w:space="0" w:color="auto"/>
        <w:right w:val="none" w:sz="0" w:space="0" w:color="auto"/>
      </w:divBdr>
    </w:div>
    <w:div w:id="1447311229">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778138677">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DDB8B-2B5C-40E1-B61A-9B2F9CD9C6DF}">
  <ds:schemaRefs>
    <ds:schemaRef ds:uri="http://schemas.microsoft.com/sharepoint/v3/contenttype/forms"/>
  </ds:schemaRefs>
</ds:datastoreItem>
</file>

<file path=customXml/itemProps2.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4.xml><?xml version="1.0" encoding="utf-8"?>
<ds:datastoreItem xmlns:ds="http://schemas.openxmlformats.org/officeDocument/2006/customXml" ds:itemID="{B36030A9-69CB-473B-BE70-4902BD80A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6</Pages>
  <Words>1343</Words>
  <Characters>7861</Characters>
  <Application>Microsoft Office Word</Application>
  <DocSecurity>0</DocSecurity>
  <Lines>341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278</cp:revision>
  <dcterms:created xsi:type="dcterms:W3CDTF">2023-03-23T23:03:00Z</dcterms:created>
  <dcterms:modified xsi:type="dcterms:W3CDTF">2024-10-03T23:32:00Z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