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 xml:space="preserve">THIS IS AN EXAMPLE. </w:t>
      </w:r>
      <w:proofErr w:type="gramStart"/>
      <w:r w:rsidRPr="00AF6831">
        <w:rPr>
          <w:rFonts w:ascii="HelveticaNeue-Thin" w:hAnsi="HelveticaNeue-Thin" w:cs="HelveticaNeue-Thin"/>
          <w:b/>
          <w:color w:val="010202"/>
          <w:sz w:val="24"/>
          <w:szCs w:val="24"/>
          <w:highlight w:val="yellow"/>
        </w:rPr>
        <w:t>COMPLETE  YOUR</w:t>
      </w:r>
      <w:proofErr w:type="gramEnd"/>
      <w:r w:rsidRPr="00AF6831">
        <w:rPr>
          <w:rFonts w:ascii="HelveticaNeue-Thin" w:hAnsi="HelveticaNeue-Thin" w:cs="HelveticaNeue-Thin"/>
          <w:b/>
          <w:color w:val="010202"/>
          <w:sz w:val="24"/>
          <w:szCs w:val="24"/>
          <w:highlight w:val="yellow"/>
        </w:rPr>
        <w:t xml:space="preserve">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0FA4D805"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w:t>
      </w:r>
      <w:r w:rsidR="00CA2C1F">
        <w:rPr>
          <w:rFonts w:ascii="HelveticaNeue-Thin" w:hAnsi="HelveticaNeue-Thin" w:cs="HelveticaNeue-Thin"/>
          <w:color w:val="010202"/>
          <w:sz w:val="28"/>
          <w:szCs w:val="28"/>
        </w:rPr>
        <w:t>6</w:t>
      </w:r>
      <w:r w:rsidR="004268F1">
        <w:rPr>
          <w:rFonts w:ascii="HelveticaNeue-Thin" w:hAnsi="HelveticaNeue-Thin" w:cs="HelveticaNeue-Thin"/>
          <w:color w:val="010202"/>
          <w:sz w:val="28"/>
          <w:szCs w:val="28"/>
        </w:rPr>
        <w:t xml:space="preserve"> </w:t>
      </w:r>
      <w:r w:rsidR="009934D5">
        <w:rPr>
          <w:rFonts w:ascii="HelveticaNeue-Thin" w:hAnsi="HelveticaNeue-Thin" w:cs="HelveticaNeue-Thin"/>
          <w:color w:val="010202"/>
          <w:sz w:val="28"/>
          <w:szCs w:val="28"/>
        </w:rPr>
        <w:t>1</w:t>
      </w:r>
      <w:r w:rsidR="000D1200">
        <w:rPr>
          <w:rFonts w:ascii="HelveticaNeue-Thin" w:hAnsi="HelveticaNeue-Thin" w:cs="HelveticaNeue-Thin"/>
          <w:color w:val="010202"/>
          <w:sz w:val="28"/>
          <w:szCs w:val="28"/>
        </w:rPr>
        <w:t>1</w:t>
      </w:r>
      <w:r w:rsidR="009934D5">
        <w:rPr>
          <w:rFonts w:ascii="HelveticaNeue-Thin" w:hAnsi="HelveticaNeue-Thin" w:cs="HelveticaNeue-Thin"/>
          <w:color w:val="010202"/>
          <w:sz w:val="28"/>
          <w:szCs w:val="28"/>
        </w:rPr>
        <w:t xml:space="preserve"> to 1</w:t>
      </w:r>
      <w:r w:rsidR="000D1200">
        <w:rPr>
          <w:rFonts w:ascii="HelveticaNeue-Thin" w:hAnsi="HelveticaNeue-Thin" w:cs="HelveticaNeue-Thin"/>
          <w:color w:val="010202"/>
          <w:sz w:val="28"/>
          <w:szCs w:val="28"/>
        </w:rPr>
        <w:t>5</w:t>
      </w:r>
      <w:r w:rsidR="009934D5">
        <w:rPr>
          <w:rFonts w:ascii="HelveticaNeue-Thin" w:hAnsi="HelveticaNeue-Thin" w:cs="HelveticaNeue-Thin"/>
          <w:color w:val="010202"/>
          <w:sz w:val="28"/>
          <w:szCs w:val="28"/>
        </w:rPr>
        <w:t xml:space="preserve"> Novem</w:t>
      </w:r>
      <w:r w:rsidR="003075EE">
        <w:rPr>
          <w:rFonts w:ascii="HelveticaNeue-Thin" w:hAnsi="HelveticaNeue-Thin" w:cs="HelveticaNeue-Thin"/>
          <w:color w:val="010202"/>
          <w:sz w:val="28"/>
          <w:szCs w:val="28"/>
        </w:rPr>
        <w:t>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0D1200">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78BF36F7"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E73ED8">
              <w:rPr>
                <w:b/>
              </w:rPr>
              <w:t>4.</w:t>
            </w:r>
            <w:r w:rsidR="0026071E">
              <w:rPr>
                <w:b/>
              </w:rPr>
              <w:t>1</w:t>
            </w:r>
            <w:r w:rsidR="00E73ED8">
              <w:rPr>
                <w:b/>
              </w:rPr>
              <w:t>.</w:t>
            </w:r>
            <w:r w:rsidR="009934D5">
              <w:rPr>
                <w:b/>
              </w:rPr>
              <w:t>1</w:t>
            </w:r>
          </w:p>
        </w:tc>
        <w:tc>
          <w:tcPr>
            <w:tcW w:w="13467" w:type="dxa"/>
          </w:tcPr>
          <w:p w14:paraId="0A55E0BC" w14:textId="52C40F36" w:rsidR="00075FF4" w:rsidRPr="0026071E" w:rsidRDefault="0026071E" w:rsidP="0026071E">
            <w:pPr>
              <w:autoSpaceDE w:val="0"/>
              <w:autoSpaceDN w:val="0"/>
              <w:adjustRightInd w:val="0"/>
              <w:spacing w:line="241" w:lineRule="atLeast"/>
              <w:rPr>
                <w:rFonts w:cs="Calibri"/>
                <w:color w:val="221E1F"/>
              </w:rPr>
            </w:pPr>
            <w:r>
              <w:rPr>
                <w:rFonts w:cs="Calibri"/>
                <w:b/>
                <w:bCs/>
                <w:color w:val="221E1F"/>
              </w:rPr>
              <w:t>Organisation of Educators</w:t>
            </w:r>
            <w:r w:rsidR="006071EE" w:rsidRPr="006071EE">
              <w:rPr>
                <w:rFonts w:cs="Calibri"/>
                <w:b/>
                <w:bCs/>
                <w:color w:val="221E1F"/>
              </w:rPr>
              <w:br/>
            </w:r>
            <w:r w:rsidRPr="0026071E">
              <w:rPr>
                <w:rFonts w:cs="Calibri"/>
                <w:color w:val="221E1F"/>
              </w:rPr>
              <w:t>The organisation of educators across the service supports children’s learning and development</w:t>
            </w:r>
            <w:r>
              <w:rPr>
                <w:rFonts w:cs="Calibri"/>
                <w:color w:val="221E1F"/>
              </w:rPr>
              <w:t>.</w:t>
            </w:r>
          </w:p>
        </w:tc>
      </w:tr>
      <w:tr w:rsidR="00533F98" w:rsidRPr="005025C5" w14:paraId="38D4BBA2" w14:textId="7777777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cPr>
          <w:p w14:paraId="4952FAA3" w14:textId="1F636B36" w:rsidR="003216A2" w:rsidRPr="00E27C17" w:rsidRDefault="00AB2C41">
            <w:pPr>
              <w:shd w:val="clear" w:color="auto" w:fill="FFFFFF"/>
              <w:spacing w:after="0"/>
            </w:pPr>
            <w:r w:rsidRPr="00D606FF">
              <w:rPr>
                <w:b/>
                <w:bCs/>
                <w:lang w:val="en-US"/>
              </w:rPr>
              <w:t>MEETING</w:t>
            </w:r>
            <w:r w:rsidR="000C1591">
              <w:rPr>
                <w:b/>
                <w:bCs/>
                <w:lang w:val="en-US"/>
              </w:rPr>
              <w:t xml:space="preserve"> - </w:t>
            </w:r>
            <w:r w:rsidR="0077725D" w:rsidRPr="00F927C9">
              <w:t>The organisation of educators supports children’s learning by aligning their strengths and interests with their roles. For instance, an educator passionate about storytelling is assigned to literacy-based activities, fostering a love for books among children. We ensure that the qualifications and experience of educators are balanced across rooms, creating an environment where collaborative learning thrives. This strategic grouping enriches children’s learning experiences and maintains safety, promoting both engagement and development.</w:t>
            </w:r>
          </w:p>
          <w:p w14:paraId="0F660D85" w14:textId="77777777" w:rsidR="003216A2" w:rsidRPr="00E27C17" w:rsidRDefault="003216A2">
            <w:pPr>
              <w:shd w:val="clear" w:color="auto" w:fill="FFFFFF"/>
              <w:spacing w:after="0"/>
              <w:rPr>
                <w:b/>
                <w:bCs/>
              </w:rPr>
            </w:pPr>
          </w:p>
          <w:p w14:paraId="3E219D98" w14:textId="77777777" w:rsidR="000211FA" w:rsidRPr="00F927C9" w:rsidRDefault="000211FA" w:rsidP="000211FA">
            <w:r w:rsidRPr="00F927C9">
              <w:t>The organisation of educators ensures children’s safety and supervision through structured strategies. For example, our playground supervision plan designates educators to specific zones, ensuring no child is unsupervised. We often exceed the minimum educator-to-child ratios, providing additional supervision when needed. Educators-in-training are never left alone with children, and we temporarily assign experienced educators to support higher-risk activities, such as cooking, to manage safety effectively.</w:t>
            </w:r>
          </w:p>
          <w:p w14:paraId="0D8F4F9F" w14:textId="0F68B177" w:rsidR="000C1591" w:rsidRDefault="00E86906">
            <w:pPr>
              <w:shd w:val="clear" w:color="auto" w:fill="FFFFFF"/>
              <w:spacing w:after="0"/>
            </w:pPr>
            <w:r w:rsidRPr="00F927C9">
              <w:t>Educators are strategically organised to enhance professional relationships and communication with families. For instance, we ensure an educator is available to welcome and interact with families during drop-off and pick-up times, building trust and rapport. We also place educators who have cultural and language skills that align with the community’s demographics, ensuring that families feel seen and supported. This approach fosters inclusive relationships and opens communication pathways, enhancing the care experience.</w:t>
            </w:r>
          </w:p>
          <w:p w14:paraId="7AE859E0" w14:textId="77777777" w:rsidR="00E86906" w:rsidRPr="00E86906" w:rsidRDefault="00E86906">
            <w:pPr>
              <w:shd w:val="clear" w:color="auto" w:fill="FFFFFF"/>
              <w:spacing w:after="0"/>
              <w:rPr>
                <w:b/>
                <w:bCs/>
              </w:rPr>
            </w:pPr>
          </w:p>
          <w:p w14:paraId="1C1B04EE" w14:textId="54FB7C1A" w:rsidR="00AB2C41" w:rsidRPr="00AB2C41" w:rsidRDefault="00AB2C41">
            <w:pPr>
              <w:shd w:val="clear" w:color="auto" w:fill="FFFFFF"/>
              <w:spacing w:after="0" w:line="240" w:lineRule="auto"/>
              <w:rPr>
                <w:b/>
                <w:bCs/>
              </w:rPr>
            </w:pPr>
            <w:r w:rsidRPr="00AB2C41">
              <w:rPr>
                <w:b/>
                <w:bCs/>
              </w:rPr>
              <w:t>EXCEEDING</w:t>
            </w:r>
          </w:p>
          <w:p w14:paraId="4F510D31" w14:textId="77777777" w:rsidR="00CA1C7A" w:rsidRDefault="00AB2C41">
            <w:pPr>
              <w:shd w:val="clear" w:color="auto" w:fill="FFFFFF"/>
              <w:spacing w:after="0"/>
            </w:pPr>
            <w:r w:rsidRPr="00AB2C41">
              <w:rPr>
                <w:b/>
                <w:bCs/>
              </w:rPr>
              <w:t>Embedded practice -</w:t>
            </w:r>
            <w:r>
              <w:t xml:space="preserve"> </w:t>
            </w:r>
            <w:r w:rsidR="00CA1C7A" w:rsidRPr="00F927C9">
              <w:t>The organisation of educators, including relief staff, consistently aligns with the service philosophy, policies, and procedures through thoughtful integration. We ensure that all educators, permanent and relief, are trained to uphold the service’s emphasis on safety, wellbeing, and inclusivity. For example, educators are briefed on inclusive practices that value diversity, enabling all children to participate fully. This consistency in approach fosters a homely, welcoming environment and supports continuous improvement.</w:t>
            </w:r>
          </w:p>
          <w:p w14:paraId="5FA01D7D" w14:textId="556164C9" w:rsidR="00E85CD3" w:rsidRDefault="00CA1C7A">
            <w:pPr>
              <w:shd w:val="clear" w:color="auto" w:fill="FFFFFF"/>
              <w:spacing w:after="0"/>
            </w:pPr>
            <w:r>
              <w:rPr>
                <w:b/>
                <w:bCs/>
                <w:iCs/>
              </w:rPr>
              <w:br/>
            </w:r>
            <w:r w:rsidR="00AB2C41" w:rsidRPr="00D606FF">
              <w:rPr>
                <w:b/>
                <w:bCs/>
                <w:iCs/>
              </w:rPr>
              <w:t>Critical Reflection -</w:t>
            </w:r>
            <w:r w:rsidR="00AB2C41">
              <w:rPr>
                <w:i/>
              </w:rPr>
              <w:t xml:space="preserve"> </w:t>
            </w:r>
            <w:r w:rsidR="009E5698" w:rsidRPr="00F927C9">
              <w:t>We have made changes to the organisation of educators to boost children’s learning outcomes. One example is the reallocation of educators based on their individual strengths and interests, allowing them to bring expertise to specific activities such as arts or sports. This adjustment not only engages children more effectively but also supports educators’ professional growth. These changes have improved teamwork and ensured that familiar educators are present, building strong bonds with children and supporting their learning journey.</w:t>
            </w:r>
          </w:p>
          <w:p w14:paraId="39A1B5BD" w14:textId="77777777" w:rsidR="009E5698" w:rsidRPr="00E27C17" w:rsidRDefault="009E5698">
            <w:pPr>
              <w:shd w:val="clear" w:color="auto" w:fill="FFFFFF"/>
              <w:spacing w:after="0"/>
            </w:pPr>
          </w:p>
          <w:p w14:paraId="58F0434F" w14:textId="0C31EF27" w:rsidR="0026071E" w:rsidRDefault="00AB2C41" w:rsidP="0026071E">
            <w:pPr>
              <w:shd w:val="clear" w:color="auto" w:fill="FFFFFF"/>
              <w:rPr>
                <w:b/>
                <w:bCs/>
                <w:iCs/>
              </w:rPr>
            </w:pPr>
            <w:r w:rsidRPr="00D606FF">
              <w:rPr>
                <w:b/>
                <w:bCs/>
                <w:iCs/>
              </w:rPr>
              <w:t xml:space="preserve">Families and community </w:t>
            </w:r>
            <w:r w:rsidR="00707D4C">
              <w:rPr>
                <w:b/>
                <w:bCs/>
                <w:iCs/>
              </w:rPr>
              <w:t>–</w:t>
            </w:r>
            <w:r w:rsidR="0011160F">
              <w:rPr>
                <w:b/>
                <w:bCs/>
                <w:iCs/>
              </w:rPr>
              <w:t xml:space="preserve"> </w:t>
            </w:r>
            <w:r w:rsidR="00062DBF" w:rsidRPr="00F927C9">
              <w:t xml:space="preserve">Our service reflects its unique geographical, cultural, and community context by organising educators in ways that resonate with the local population. For instance, we place educators who share the cultural backgrounds of families, fostering trust and communication. In rural areas, educators familiar with farming greet and interact with families, creating a sense of shared experience. Similarly, </w:t>
            </w:r>
            <w:r w:rsidR="00062DBF" w:rsidRPr="00F927C9">
              <w:lastRenderedPageBreak/>
              <w:t>during community events like fetes or parades, we assign creative educators to support children’s participation, reflecting local traditions and interests.</w:t>
            </w:r>
          </w:p>
          <w:p w14:paraId="74714799" w14:textId="51482CEC" w:rsidR="00E57A01" w:rsidRPr="00D606FF" w:rsidRDefault="00D606FF" w:rsidP="0026071E">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26071E" w:rsidRPr="005025C5" w14:paraId="71245204" w14:textId="77777777" w:rsidTr="001C210D">
        <w:trPr>
          <w:trHeight w:val="572"/>
        </w:trPr>
        <w:tc>
          <w:tcPr>
            <w:tcW w:w="1917" w:type="dxa"/>
            <w:shd w:val="clear" w:color="auto" w:fill="DAEEF3"/>
          </w:tcPr>
          <w:p w14:paraId="2AB39F68" w14:textId="23BF31BC" w:rsidR="0026071E" w:rsidRPr="000160DF" w:rsidRDefault="0026071E" w:rsidP="0026071E">
            <w:pPr>
              <w:pStyle w:val="NoSpacing"/>
              <w:rPr>
                <w:b/>
              </w:rPr>
            </w:pPr>
            <w:r>
              <w:rPr>
                <w:b/>
              </w:rPr>
              <w:t>Element 4.1.1</w:t>
            </w:r>
          </w:p>
        </w:tc>
        <w:tc>
          <w:tcPr>
            <w:tcW w:w="13393" w:type="dxa"/>
            <w:shd w:val="clear" w:color="auto" w:fill="FFFFFF"/>
          </w:tcPr>
          <w:p w14:paraId="47F7311F" w14:textId="562AC2C4" w:rsidR="0026071E" w:rsidRPr="00D67E81" w:rsidRDefault="0026071E" w:rsidP="0026071E">
            <w:pPr>
              <w:spacing w:after="0" w:line="240" w:lineRule="auto"/>
            </w:pPr>
            <w:r>
              <w:rPr>
                <w:rFonts w:cs="Calibri"/>
                <w:b/>
                <w:bCs/>
                <w:color w:val="221E1F"/>
              </w:rPr>
              <w:t>Organisation of Educators</w:t>
            </w:r>
            <w:r w:rsidRPr="006071EE">
              <w:rPr>
                <w:rFonts w:cs="Calibri"/>
                <w:b/>
                <w:bCs/>
                <w:color w:val="221E1F"/>
              </w:rPr>
              <w:br/>
            </w:r>
            <w:r w:rsidRPr="0026071E">
              <w:rPr>
                <w:rFonts w:cs="Calibri"/>
                <w:color w:val="221E1F"/>
              </w:rPr>
              <w:t>The organisation of educators across the service supports children’s learning and development</w:t>
            </w:r>
            <w:r>
              <w:rPr>
                <w:rFonts w:cs="Calibri"/>
                <w:color w:val="221E1F"/>
              </w:rPr>
              <w:t>.</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593382B2" w:rsidR="00075FF4" w:rsidRPr="0026071E" w:rsidRDefault="00194513" w:rsidP="00075FF4">
            <w:pPr>
              <w:pStyle w:val="NormalWeb"/>
              <w:spacing w:before="0" w:beforeAutospacing="0" w:after="0" w:afterAutospacing="0"/>
              <w:rPr>
                <w:sz w:val="22"/>
                <w:szCs w:val="22"/>
                <w:lang w:eastAsia="en-AU"/>
              </w:rPr>
            </w:pPr>
            <w:r w:rsidRPr="0026071E">
              <w:rPr>
                <w:rFonts w:ascii="Calibri" w:hAnsi="Calibri" w:cs="Calibri"/>
                <w:color w:val="000000"/>
                <w:sz w:val="18"/>
                <w:szCs w:val="18"/>
              </w:rPr>
              <w:t>4.</w:t>
            </w:r>
            <w:r w:rsidR="0026071E" w:rsidRPr="0026071E">
              <w:rPr>
                <w:rFonts w:ascii="Calibri" w:hAnsi="Calibri" w:cs="Calibri"/>
                <w:color w:val="000000"/>
                <w:sz w:val="18"/>
                <w:szCs w:val="18"/>
              </w:rPr>
              <w:t>1.1</w:t>
            </w:r>
          </w:p>
          <w:p w14:paraId="0717B254" w14:textId="687F7BDB" w:rsidR="00075FF4" w:rsidRPr="0026071E" w:rsidRDefault="00075FF4" w:rsidP="00075FF4">
            <w:pPr>
              <w:pStyle w:val="NormalWeb"/>
              <w:spacing w:before="0" w:beforeAutospacing="0" w:after="0" w:afterAutospacing="0"/>
              <w:rPr>
                <w:sz w:val="22"/>
                <w:szCs w:val="22"/>
              </w:rPr>
            </w:pPr>
            <w:r w:rsidRPr="0026071E">
              <w:rPr>
                <w:rFonts w:ascii="Calibri" w:hAnsi="Calibri" w:cs="Calibri"/>
                <w:color w:val="000000"/>
                <w:sz w:val="18"/>
                <w:szCs w:val="18"/>
              </w:rPr>
              <w:t>Week</w:t>
            </w:r>
            <w:r w:rsidR="00333320" w:rsidRPr="0026071E">
              <w:rPr>
                <w:rFonts w:ascii="Calibri" w:hAnsi="Calibri" w:cs="Calibri"/>
                <w:color w:val="000000"/>
                <w:sz w:val="18"/>
                <w:szCs w:val="18"/>
              </w:rPr>
              <w:t xml:space="preserve"> </w:t>
            </w:r>
            <w:r w:rsidR="006C6894" w:rsidRPr="0026071E">
              <w:rPr>
                <w:rFonts w:ascii="Calibri" w:hAnsi="Calibri" w:cs="Calibri"/>
                <w:color w:val="000000"/>
                <w:sz w:val="18"/>
                <w:szCs w:val="18"/>
              </w:rPr>
              <w:t>3</w:t>
            </w:r>
            <w:r w:rsidR="0026071E" w:rsidRPr="0026071E">
              <w:rPr>
                <w:rFonts w:ascii="Calibri" w:hAnsi="Calibri" w:cs="Calibri"/>
                <w:color w:val="000000"/>
                <w:sz w:val="18"/>
                <w:szCs w:val="18"/>
              </w:rPr>
              <w:t>6</w:t>
            </w:r>
          </w:p>
          <w:p w14:paraId="3320FC3C" w14:textId="604A2D9C" w:rsidR="00075FF4" w:rsidRPr="00740FED" w:rsidRDefault="00075FF4" w:rsidP="00075FF4">
            <w:pPr>
              <w:pStyle w:val="NoSpacing"/>
              <w:rPr>
                <w:sz w:val="18"/>
                <w:szCs w:val="18"/>
              </w:rPr>
            </w:pPr>
          </w:p>
        </w:tc>
        <w:tc>
          <w:tcPr>
            <w:tcW w:w="1403" w:type="dxa"/>
          </w:tcPr>
          <w:p w14:paraId="13795AB9" w14:textId="613E4A2B" w:rsidR="00075FF4" w:rsidRPr="0057302A" w:rsidRDefault="004504D2" w:rsidP="00466395">
            <w:pPr>
              <w:spacing w:after="0" w:line="240" w:lineRule="auto"/>
              <w:rPr>
                <w:rStyle w:val="textexposedshow"/>
                <w:rFonts w:cs="Calibri"/>
                <w:color w:val="1D2129"/>
                <w:sz w:val="20"/>
                <w:szCs w:val="20"/>
              </w:rPr>
            </w:pPr>
            <w:r w:rsidRPr="004504D2">
              <w:rPr>
                <w:rStyle w:val="textexposedshow"/>
                <w:rFonts w:cs="Calibri"/>
                <w:color w:val="1D2129"/>
                <w:sz w:val="20"/>
                <w:szCs w:val="20"/>
              </w:rPr>
              <w:t>Lack of coordination among educators, impacting children's learning.</w:t>
            </w:r>
          </w:p>
        </w:tc>
        <w:tc>
          <w:tcPr>
            <w:tcW w:w="2268" w:type="dxa"/>
          </w:tcPr>
          <w:p w14:paraId="319A2547" w14:textId="088B3C6F" w:rsidR="00A93BCD" w:rsidRPr="00A93BCD" w:rsidRDefault="008F7DE3" w:rsidP="00154B17">
            <w:pPr>
              <w:rPr>
                <w:rFonts w:cs="Calibri"/>
                <w:sz w:val="20"/>
                <w:szCs w:val="20"/>
              </w:rPr>
            </w:pPr>
            <w:r w:rsidRPr="008F7DE3">
              <w:rPr>
                <w:rFonts w:cs="Calibri"/>
                <w:sz w:val="20"/>
                <w:szCs w:val="20"/>
              </w:rPr>
              <w:t>To improve coordination among educators for better support to children's learning.</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56A11EDD" w14:textId="65846D4E" w:rsidR="00075FF4" w:rsidRPr="00154B17" w:rsidRDefault="008F7DE3" w:rsidP="008F7DE3">
            <w:pPr>
              <w:pStyle w:val="NormalWeb"/>
              <w:spacing w:before="0" w:beforeAutospacing="0" w:after="0"/>
              <w:rPr>
                <w:rStyle w:val="textexposedshow"/>
                <w:rFonts w:ascii="Calibri" w:hAnsi="Calibri" w:cs="Calibri"/>
                <w:color w:val="1D2129"/>
                <w:sz w:val="20"/>
                <w:szCs w:val="20"/>
              </w:rPr>
            </w:pPr>
            <w:r w:rsidRPr="008F7DE3">
              <w:rPr>
                <w:rStyle w:val="textexposedshow"/>
                <w:rFonts w:ascii="Calibri" w:hAnsi="Calibri" w:cs="Calibri"/>
                <w:color w:val="1D2129"/>
                <w:sz w:val="20"/>
                <w:szCs w:val="20"/>
              </w:rPr>
              <w:t>Schedule regular team meetings.</w:t>
            </w:r>
            <w:r>
              <w:rPr>
                <w:rStyle w:val="textexposedshow"/>
                <w:rFonts w:ascii="Calibri" w:hAnsi="Calibri" w:cs="Calibri"/>
                <w:color w:val="1D2129"/>
                <w:sz w:val="20"/>
                <w:szCs w:val="20"/>
              </w:rPr>
              <w:br/>
            </w:r>
            <w:r w:rsidRPr="008F7DE3">
              <w:rPr>
                <w:rStyle w:val="textexposedshow"/>
                <w:rFonts w:ascii="Calibri" w:hAnsi="Calibri" w:cs="Calibri"/>
                <w:color w:val="1D2129"/>
                <w:sz w:val="20"/>
                <w:szCs w:val="20"/>
              </w:rPr>
              <w:t>Create communication channels for educators.</w:t>
            </w:r>
            <w:r>
              <w:rPr>
                <w:rStyle w:val="textexposedshow"/>
                <w:rFonts w:ascii="Calibri" w:hAnsi="Calibri" w:cs="Calibri"/>
                <w:color w:val="1D2129"/>
                <w:sz w:val="20"/>
                <w:szCs w:val="20"/>
              </w:rPr>
              <w:br/>
            </w:r>
            <w:r w:rsidRPr="008F7DE3">
              <w:rPr>
                <w:rStyle w:val="textexposedshow"/>
                <w:rFonts w:ascii="Calibri" w:hAnsi="Calibri" w:cs="Calibri"/>
                <w:color w:val="1D2129"/>
                <w:sz w:val="20"/>
                <w:szCs w:val="20"/>
              </w:rPr>
              <w:t>Share best practices and resources.</w:t>
            </w:r>
            <w:r>
              <w:rPr>
                <w:rStyle w:val="textexposedshow"/>
                <w:rFonts w:ascii="Calibri" w:hAnsi="Calibri" w:cs="Calibri"/>
                <w:color w:val="1D2129"/>
                <w:sz w:val="20"/>
                <w:szCs w:val="20"/>
              </w:rPr>
              <w:br/>
            </w:r>
            <w:r w:rsidRPr="008F7DE3">
              <w:rPr>
                <w:rStyle w:val="textexposedshow"/>
                <w:rFonts w:ascii="Calibri" w:hAnsi="Calibri" w:cs="Calibri"/>
                <w:color w:val="1D2129"/>
                <w:sz w:val="20"/>
                <w:szCs w:val="20"/>
              </w:rPr>
              <w:t>Encourage collaboration on lesson planning.</w:t>
            </w:r>
          </w:p>
        </w:tc>
        <w:tc>
          <w:tcPr>
            <w:tcW w:w="3402" w:type="dxa"/>
          </w:tcPr>
          <w:p w14:paraId="138D367B" w14:textId="77777777" w:rsidR="00913CE6" w:rsidRDefault="00913CE6" w:rsidP="00913CE6">
            <w:r>
              <w:rPr>
                <w:i/>
              </w:rPr>
              <w:t>The organisation of educators supports children’s learning in the following ways.</w:t>
            </w:r>
          </w:p>
          <w:p w14:paraId="2B6FBF90" w14:textId="77777777" w:rsidR="00913CE6" w:rsidRDefault="00913CE6" w:rsidP="00913CE6">
            <w:pPr>
              <w:numPr>
                <w:ilvl w:val="0"/>
                <w:numId w:val="42"/>
              </w:numPr>
              <w:pBdr>
                <w:top w:val="nil"/>
                <w:left w:val="nil"/>
                <w:bottom w:val="nil"/>
                <w:right w:val="nil"/>
                <w:between w:val="nil"/>
              </w:pBdr>
              <w:spacing w:after="0" w:line="259" w:lineRule="auto"/>
              <w:rPr>
                <w:color w:val="FF0000"/>
              </w:rPr>
            </w:pPr>
            <w:r>
              <w:rPr>
                <w:color w:val="FF0000"/>
              </w:rPr>
              <w:t>We note improved learning activities/outcomes when educators can use their strengths/interests. We consider this when allocating educators to rooms/groups.</w:t>
            </w:r>
          </w:p>
          <w:p w14:paraId="7914B799" w14:textId="77777777" w:rsidR="00913CE6" w:rsidRDefault="00913CE6" w:rsidP="00913CE6">
            <w:pPr>
              <w:numPr>
                <w:ilvl w:val="0"/>
                <w:numId w:val="42"/>
              </w:numPr>
              <w:pBdr>
                <w:top w:val="nil"/>
                <w:left w:val="nil"/>
                <w:bottom w:val="nil"/>
                <w:right w:val="nil"/>
                <w:between w:val="nil"/>
              </w:pBdr>
              <w:spacing w:after="160" w:line="259" w:lineRule="auto"/>
              <w:rPr>
                <w:color w:val="FF0000"/>
              </w:rPr>
            </w:pPr>
            <w:r>
              <w:rPr>
                <w:color w:val="FF0000"/>
              </w:rPr>
              <w:t>We group educators after considering qualifications/experience, that is, an effective mix supports learning and safety.</w:t>
            </w:r>
          </w:p>
          <w:p w14:paraId="297E2E9A" w14:textId="46A06D48" w:rsidR="00075FF4" w:rsidRPr="00105653" w:rsidRDefault="00075FF4" w:rsidP="0057036B"/>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BF4E2C">
        <w:tc>
          <w:tcPr>
            <w:tcW w:w="973" w:type="dxa"/>
          </w:tcPr>
          <w:p w14:paraId="4C7ECEC1" w14:textId="77777777" w:rsidR="0026071E" w:rsidRPr="0026071E" w:rsidRDefault="0026071E" w:rsidP="0026071E">
            <w:pPr>
              <w:pStyle w:val="NormalWeb"/>
              <w:spacing w:before="0" w:beforeAutospacing="0" w:after="0" w:afterAutospacing="0"/>
              <w:rPr>
                <w:sz w:val="22"/>
                <w:szCs w:val="22"/>
              </w:rPr>
            </w:pPr>
            <w:r w:rsidRPr="0026071E">
              <w:rPr>
                <w:rFonts w:ascii="Calibri" w:hAnsi="Calibri" w:cs="Calibri"/>
                <w:color w:val="000000"/>
                <w:sz w:val="18"/>
                <w:szCs w:val="18"/>
              </w:rPr>
              <w:t>Week 36</w:t>
            </w:r>
          </w:p>
          <w:p w14:paraId="31DFD234" w14:textId="77777777" w:rsidR="00062DBF" w:rsidRDefault="00062DBF" w:rsidP="0026071E">
            <w:pPr>
              <w:pStyle w:val="NoSpacing"/>
              <w:rPr>
                <w:rFonts w:cs="Calibri"/>
                <w:color w:val="000000"/>
                <w:sz w:val="18"/>
                <w:szCs w:val="18"/>
              </w:rPr>
            </w:pPr>
          </w:p>
          <w:p w14:paraId="5D0BA762" w14:textId="49F407E6" w:rsidR="00075FF4" w:rsidRDefault="006071EE" w:rsidP="0026071E">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0D86F5D4" w:rsidR="00075FF4" w:rsidRPr="00213962" w:rsidRDefault="00075FF4" w:rsidP="00075FF4">
            <w:pPr>
              <w:spacing w:after="240"/>
              <w:rPr>
                <w:rStyle w:val="textexposedshow"/>
                <w:rFonts w:cs="Calibri"/>
                <w:color w:val="1D2129"/>
                <w:sz w:val="21"/>
                <w:szCs w:val="21"/>
              </w:rPr>
            </w:pPr>
          </w:p>
        </w:tc>
        <w:tc>
          <w:tcPr>
            <w:tcW w:w="2268" w:type="dxa"/>
          </w:tcPr>
          <w:p w14:paraId="5B8B847E" w14:textId="7D8C618A" w:rsidR="00075FF4" w:rsidRPr="00213962" w:rsidRDefault="00075FF4" w:rsidP="00075FF4">
            <w:pPr>
              <w:spacing w:after="240"/>
              <w:rPr>
                <w:rStyle w:val="textexposedshow"/>
                <w:rFonts w:cs="Calibri"/>
                <w:iCs/>
                <w:color w:val="1D2129"/>
                <w:sz w:val="20"/>
                <w:szCs w:val="20"/>
              </w:rPr>
            </w:pP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E8664EA" w14:textId="6ADEB9D7" w:rsidR="009B4161" w:rsidRPr="00D04580" w:rsidRDefault="009B4161" w:rsidP="00022373">
            <w:pPr>
              <w:spacing w:after="0"/>
              <w:rPr>
                <w:rStyle w:val="textexposedshow"/>
                <w:rFonts w:cs="Calibri"/>
                <w:color w:val="1D2129"/>
                <w:sz w:val="20"/>
                <w:szCs w:val="20"/>
              </w:rPr>
            </w:pPr>
          </w:p>
        </w:tc>
        <w:tc>
          <w:tcPr>
            <w:tcW w:w="3402" w:type="dxa"/>
          </w:tcPr>
          <w:p w14:paraId="078E9F5E" w14:textId="77777777" w:rsidR="00B07C08" w:rsidRDefault="00B07C08" w:rsidP="00B07C08">
            <w:pPr>
              <w:rPr>
                <w:i/>
              </w:rPr>
            </w:pPr>
            <w:r>
              <w:rPr>
                <w:i/>
              </w:rPr>
              <w:t>The organisation of educators, including relief educators, consistently aligns with the service philosophy, policies and procedures in the following ways. It:</w:t>
            </w:r>
          </w:p>
          <w:p w14:paraId="05847ED7" w14:textId="77777777" w:rsidR="00B07C08" w:rsidRDefault="00B07C08" w:rsidP="00B07C08">
            <w:pPr>
              <w:numPr>
                <w:ilvl w:val="0"/>
                <w:numId w:val="41"/>
              </w:numPr>
              <w:pBdr>
                <w:top w:val="nil"/>
                <w:left w:val="nil"/>
                <w:bottom w:val="nil"/>
                <w:right w:val="nil"/>
                <w:between w:val="nil"/>
              </w:pBdr>
              <w:spacing w:after="0" w:line="259" w:lineRule="auto"/>
              <w:rPr>
                <w:color w:val="FF0000"/>
              </w:rPr>
            </w:pPr>
            <w:r>
              <w:rPr>
                <w:color w:val="FF0000"/>
              </w:rPr>
              <w:t>ensures all children can participate in activities and experiences</w:t>
            </w:r>
          </w:p>
          <w:p w14:paraId="4702BF98" w14:textId="77777777" w:rsidR="00B07C08" w:rsidRDefault="00B07C08" w:rsidP="00B07C08">
            <w:pPr>
              <w:numPr>
                <w:ilvl w:val="0"/>
                <w:numId w:val="41"/>
              </w:numPr>
              <w:pBdr>
                <w:top w:val="nil"/>
                <w:left w:val="nil"/>
                <w:bottom w:val="nil"/>
                <w:right w:val="nil"/>
                <w:between w:val="nil"/>
              </w:pBdr>
              <w:spacing w:after="0" w:line="259" w:lineRule="auto"/>
              <w:rPr>
                <w:color w:val="FF0000"/>
              </w:rPr>
            </w:pPr>
            <w:r>
              <w:rPr>
                <w:color w:val="FF0000"/>
              </w:rPr>
              <w:lastRenderedPageBreak/>
              <w:t>promotes children’s safety and wellbeing</w:t>
            </w:r>
          </w:p>
          <w:p w14:paraId="4F7CFA9E" w14:textId="77777777" w:rsidR="00B07C08" w:rsidRDefault="00B07C08" w:rsidP="00B07C08">
            <w:pPr>
              <w:numPr>
                <w:ilvl w:val="0"/>
                <w:numId w:val="41"/>
              </w:numPr>
              <w:pBdr>
                <w:top w:val="nil"/>
                <w:left w:val="nil"/>
                <w:bottom w:val="nil"/>
                <w:right w:val="nil"/>
                <w:between w:val="nil"/>
              </w:pBdr>
              <w:spacing w:after="0" w:line="259" w:lineRule="auto"/>
              <w:rPr>
                <w:color w:val="FF0000"/>
              </w:rPr>
            </w:pPr>
            <w:r>
              <w:rPr>
                <w:color w:val="FF0000"/>
              </w:rPr>
              <w:t>promotes inclusive practices</w:t>
            </w:r>
          </w:p>
          <w:p w14:paraId="08A7556B" w14:textId="77777777" w:rsidR="00B07C08" w:rsidRDefault="00B07C08" w:rsidP="00B07C08">
            <w:pPr>
              <w:numPr>
                <w:ilvl w:val="0"/>
                <w:numId w:val="41"/>
              </w:numPr>
              <w:pBdr>
                <w:top w:val="nil"/>
                <w:left w:val="nil"/>
                <w:bottom w:val="nil"/>
                <w:right w:val="nil"/>
                <w:between w:val="nil"/>
              </w:pBdr>
              <w:spacing w:after="0" w:line="259" w:lineRule="auto"/>
              <w:rPr>
                <w:color w:val="FF0000"/>
              </w:rPr>
            </w:pPr>
            <w:r>
              <w:rPr>
                <w:color w:val="FF0000"/>
              </w:rPr>
              <w:t>ensures each child can achieve their potential</w:t>
            </w:r>
          </w:p>
          <w:p w14:paraId="1684B16E" w14:textId="77777777" w:rsidR="00B07C08" w:rsidRDefault="00B07C08" w:rsidP="00B07C08">
            <w:pPr>
              <w:numPr>
                <w:ilvl w:val="0"/>
                <w:numId w:val="41"/>
              </w:numPr>
              <w:pBdr>
                <w:top w:val="nil"/>
                <w:left w:val="nil"/>
                <w:bottom w:val="nil"/>
                <w:right w:val="nil"/>
                <w:between w:val="nil"/>
              </w:pBdr>
              <w:spacing w:after="0" w:line="259" w:lineRule="auto"/>
              <w:rPr>
                <w:color w:val="FF0000"/>
              </w:rPr>
            </w:pPr>
            <w:r>
              <w:rPr>
                <w:color w:val="FF0000"/>
              </w:rPr>
              <w:t>values families’ views and encourages their engagement with service</w:t>
            </w:r>
          </w:p>
          <w:p w14:paraId="7B978E57" w14:textId="77777777" w:rsidR="00B07C08" w:rsidRDefault="00B07C08" w:rsidP="00B07C08">
            <w:pPr>
              <w:numPr>
                <w:ilvl w:val="0"/>
                <w:numId w:val="41"/>
              </w:numPr>
              <w:pBdr>
                <w:top w:val="nil"/>
                <w:left w:val="nil"/>
                <w:bottom w:val="nil"/>
                <w:right w:val="nil"/>
                <w:between w:val="nil"/>
              </w:pBdr>
              <w:spacing w:after="0" w:line="259" w:lineRule="auto"/>
              <w:rPr>
                <w:color w:val="FF0000"/>
              </w:rPr>
            </w:pPr>
            <w:r>
              <w:rPr>
                <w:color w:val="FF0000"/>
              </w:rPr>
              <w:t>demonstrates respect for/values diversity</w:t>
            </w:r>
          </w:p>
          <w:p w14:paraId="003CA774" w14:textId="77777777" w:rsidR="00B07C08" w:rsidRDefault="00B07C08" w:rsidP="00B07C08">
            <w:pPr>
              <w:numPr>
                <w:ilvl w:val="0"/>
                <w:numId w:val="41"/>
              </w:numPr>
              <w:pBdr>
                <w:top w:val="nil"/>
                <w:left w:val="nil"/>
                <w:bottom w:val="nil"/>
                <w:right w:val="nil"/>
                <w:between w:val="nil"/>
              </w:pBdr>
              <w:spacing w:after="0" w:line="259" w:lineRule="auto"/>
              <w:rPr>
                <w:color w:val="FF0000"/>
              </w:rPr>
            </w:pPr>
            <w:r>
              <w:rPr>
                <w:color w:val="FF0000"/>
              </w:rPr>
              <w:t>promotes a homely environment</w:t>
            </w:r>
          </w:p>
          <w:p w14:paraId="31F0CCC2" w14:textId="77777777" w:rsidR="00B07C08" w:rsidRDefault="00B07C08" w:rsidP="00B07C08">
            <w:pPr>
              <w:numPr>
                <w:ilvl w:val="0"/>
                <w:numId w:val="41"/>
              </w:numPr>
              <w:pBdr>
                <w:top w:val="nil"/>
                <w:left w:val="nil"/>
                <w:bottom w:val="nil"/>
                <w:right w:val="nil"/>
                <w:between w:val="nil"/>
              </w:pBdr>
              <w:spacing w:after="0" w:line="259" w:lineRule="auto"/>
              <w:rPr>
                <w:color w:val="FF0000"/>
              </w:rPr>
            </w:pPr>
            <w:r>
              <w:rPr>
                <w:color w:val="FF0000"/>
              </w:rPr>
              <w:t>supports continuous improvement.</w:t>
            </w:r>
          </w:p>
          <w:p w14:paraId="7A76C3FA" w14:textId="23197873" w:rsidR="004662DA" w:rsidRPr="006312D2" w:rsidRDefault="004662DA" w:rsidP="006C6894">
            <w:pPr>
              <w:pBdr>
                <w:top w:val="nil"/>
                <w:left w:val="nil"/>
                <w:bottom w:val="nil"/>
                <w:right w:val="nil"/>
                <w:between w:val="nil"/>
              </w:pBdr>
              <w:spacing w:after="0" w:line="259" w:lineRule="auto"/>
              <w:rPr>
                <w:color w:val="FF0000"/>
              </w:rPr>
            </w:pP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BF4E2C">
        <w:tc>
          <w:tcPr>
            <w:tcW w:w="973" w:type="dxa"/>
          </w:tcPr>
          <w:p w14:paraId="092E2421" w14:textId="77777777" w:rsidR="0026071E" w:rsidRPr="0026071E" w:rsidRDefault="0026071E" w:rsidP="0026071E">
            <w:pPr>
              <w:pStyle w:val="NormalWeb"/>
              <w:spacing w:before="0" w:beforeAutospacing="0" w:after="0" w:afterAutospacing="0"/>
              <w:rPr>
                <w:sz w:val="22"/>
                <w:szCs w:val="22"/>
              </w:rPr>
            </w:pPr>
            <w:r w:rsidRPr="0026071E">
              <w:rPr>
                <w:rFonts w:ascii="Calibri" w:hAnsi="Calibri" w:cs="Calibri"/>
                <w:color w:val="000000"/>
                <w:sz w:val="18"/>
                <w:szCs w:val="18"/>
              </w:rPr>
              <w:t>Week 36</w:t>
            </w:r>
          </w:p>
          <w:p w14:paraId="566FD612" w14:textId="77777777" w:rsidR="00062DBF" w:rsidRDefault="00062DBF" w:rsidP="0026071E">
            <w:pPr>
              <w:pStyle w:val="NoSpacing"/>
              <w:rPr>
                <w:rFonts w:cs="Calibri"/>
                <w:color w:val="000000"/>
                <w:sz w:val="18"/>
                <w:szCs w:val="18"/>
              </w:rPr>
            </w:pPr>
          </w:p>
          <w:p w14:paraId="543E98BC" w14:textId="1741E80C" w:rsidR="00371FE4" w:rsidRDefault="009B4161" w:rsidP="0026071E">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4C4D1DA0" w:rsidR="00371FE4" w:rsidRPr="0057302A" w:rsidRDefault="00371FE4" w:rsidP="00371FE4">
            <w:pPr>
              <w:spacing w:after="0" w:line="240" w:lineRule="auto"/>
              <w:rPr>
                <w:rStyle w:val="textexposedshow"/>
                <w:rFonts w:cs="Calibri"/>
                <w:color w:val="1D2129"/>
                <w:sz w:val="20"/>
                <w:szCs w:val="20"/>
              </w:rPr>
            </w:pPr>
          </w:p>
        </w:tc>
        <w:tc>
          <w:tcPr>
            <w:tcW w:w="2268" w:type="dxa"/>
          </w:tcPr>
          <w:p w14:paraId="07830F15" w14:textId="420170B1" w:rsidR="00371FE4" w:rsidRPr="0057302A" w:rsidRDefault="00371FE4" w:rsidP="00371FE4">
            <w:pPr>
              <w:spacing w:after="0" w:line="240" w:lineRule="auto"/>
              <w:rPr>
                <w:rStyle w:val="textexposedshow"/>
                <w:rFonts w:cs="Calibri"/>
                <w:color w:val="1D2129"/>
                <w:sz w:val="20"/>
                <w:szCs w:val="20"/>
              </w:rPr>
            </w:pP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CE109E2" w14:textId="64418E6A" w:rsidR="00371FE4" w:rsidRPr="00D04580" w:rsidRDefault="00371FE4" w:rsidP="002D6F4E">
            <w:pPr>
              <w:spacing w:after="0"/>
              <w:textAlignment w:val="baseline"/>
              <w:rPr>
                <w:rStyle w:val="textexposedshow"/>
                <w:rFonts w:cs="Calibri"/>
                <w:color w:val="1D2129"/>
                <w:sz w:val="20"/>
                <w:szCs w:val="20"/>
              </w:rPr>
            </w:pPr>
          </w:p>
        </w:tc>
        <w:tc>
          <w:tcPr>
            <w:tcW w:w="3402" w:type="dxa"/>
          </w:tcPr>
          <w:p w14:paraId="4FFEF1F0" w14:textId="77777777" w:rsidR="00B359A8" w:rsidRDefault="00B359A8" w:rsidP="00B359A8">
            <w:pPr>
              <w:rPr>
                <w:i/>
              </w:rPr>
            </w:pPr>
            <w:r>
              <w:rPr>
                <w:i/>
              </w:rPr>
              <w:t>We’ve made changes to the organisation of educators to enhance children’s learning outcomes for various reasons, including to:</w:t>
            </w:r>
          </w:p>
          <w:p w14:paraId="02945E08" w14:textId="77777777" w:rsidR="00B359A8" w:rsidRDefault="00B359A8" w:rsidP="00B359A8">
            <w:pPr>
              <w:numPr>
                <w:ilvl w:val="0"/>
                <w:numId w:val="41"/>
              </w:numPr>
              <w:pBdr>
                <w:top w:val="nil"/>
                <w:left w:val="nil"/>
                <w:bottom w:val="nil"/>
                <w:right w:val="nil"/>
                <w:between w:val="nil"/>
              </w:pBdr>
              <w:spacing w:after="0" w:line="259" w:lineRule="auto"/>
              <w:rPr>
                <w:color w:val="FF0000"/>
              </w:rPr>
            </w:pPr>
            <w:r>
              <w:rPr>
                <w:color w:val="FF0000"/>
              </w:rPr>
              <w:t>support continuity of educators</w:t>
            </w:r>
          </w:p>
          <w:p w14:paraId="10E80438" w14:textId="77777777" w:rsidR="00B359A8" w:rsidRDefault="00B359A8" w:rsidP="00B359A8">
            <w:pPr>
              <w:numPr>
                <w:ilvl w:val="0"/>
                <w:numId w:val="41"/>
              </w:numPr>
              <w:pBdr>
                <w:top w:val="nil"/>
                <w:left w:val="nil"/>
                <w:bottom w:val="nil"/>
                <w:right w:val="nil"/>
                <w:between w:val="nil"/>
              </w:pBdr>
              <w:spacing w:after="0" w:line="259" w:lineRule="auto"/>
              <w:rPr>
                <w:color w:val="FF0000"/>
              </w:rPr>
            </w:pPr>
            <w:r>
              <w:rPr>
                <w:color w:val="FF0000"/>
              </w:rPr>
              <w:t>improve the mix of qualifications/experience</w:t>
            </w:r>
          </w:p>
          <w:p w14:paraId="2FF68B60" w14:textId="77777777" w:rsidR="00B359A8" w:rsidRDefault="00B359A8" w:rsidP="00B359A8">
            <w:pPr>
              <w:numPr>
                <w:ilvl w:val="0"/>
                <w:numId w:val="41"/>
              </w:numPr>
              <w:pBdr>
                <w:top w:val="nil"/>
                <w:left w:val="nil"/>
                <w:bottom w:val="nil"/>
                <w:right w:val="nil"/>
                <w:between w:val="nil"/>
              </w:pBdr>
              <w:spacing w:after="0" w:line="259" w:lineRule="auto"/>
              <w:rPr>
                <w:color w:val="FF0000"/>
              </w:rPr>
            </w:pPr>
            <w:r>
              <w:rPr>
                <w:color w:val="FF0000"/>
              </w:rPr>
              <w:t>enable educators to use their strengths/interests</w:t>
            </w:r>
          </w:p>
          <w:p w14:paraId="204DA0BE" w14:textId="77777777" w:rsidR="00B359A8" w:rsidRDefault="00B359A8" w:rsidP="00B359A8">
            <w:pPr>
              <w:numPr>
                <w:ilvl w:val="0"/>
                <w:numId w:val="41"/>
              </w:numPr>
              <w:pBdr>
                <w:top w:val="nil"/>
                <w:left w:val="nil"/>
                <w:bottom w:val="nil"/>
                <w:right w:val="nil"/>
                <w:between w:val="nil"/>
              </w:pBdr>
              <w:spacing w:after="0" w:line="259" w:lineRule="auto"/>
              <w:rPr>
                <w:color w:val="FF0000"/>
              </w:rPr>
            </w:pPr>
            <w:r>
              <w:rPr>
                <w:color w:val="FF0000"/>
              </w:rPr>
              <w:t>support the professional development of educators</w:t>
            </w:r>
          </w:p>
          <w:p w14:paraId="1462511D" w14:textId="77777777" w:rsidR="00B359A8" w:rsidRDefault="00B359A8" w:rsidP="00B359A8">
            <w:pPr>
              <w:numPr>
                <w:ilvl w:val="0"/>
                <w:numId w:val="41"/>
              </w:numPr>
              <w:pBdr>
                <w:top w:val="nil"/>
                <w:left w:val="nil"/>
                <w:bottom w:val="nil"/>
                <w:right w:val="nil"/>
                <w:between w:val="nil"/>
              </w:pBdr>
              <w:spacing w:after="0" w:line="259" w:lineRule="auto"/>
              <w:rPr>
                <w:color w:val="FF0000"/>
              </w:rPr>
            </w:pPr>
            <w:r>
              <w:rPr>
                <w:color w:val="FF0000"/>
              </w:rPr>
              <w:t>improve teamwork and cohesion</w:t>
            </w:r>
          </w:p>
          <w:p w14:paraId="4282EA4D" w14:textId="1EBB596C" w:rsidR="00A5063A" w:rsidRPr="00B359A8" w:rsidRDefault="00B359A8" w:rsidP="00B359A8">
            <w:pPr>
              <w:numPr>
                <w:ilvl w:val="0"/>
                <w:numId w:val="41"/>
              </w:numPr>
              <w:pBdr>
                <w:top w:val="nil"/>
                <w:left w:val="nil"/>
                <w:bottom w:val="nil"/>
                <w:right w:val="nil"/>
                <w:between w:val="nil"/>
              </w:pBdr>
              <w:spacing w:after="0" w:line="259" w:lineRule="auto"/>
              <w:rPr>
                <w:color w:val="FF0000"/>
              </w:rPr>
            </w:pPr>
            <w:r w:rsidRPr="00B359A8">
              <w:rPr>
                <w:color w:val="FF0000"/>
              </w:rPr>
              <w:t>enable familiar educators to work with children.</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392586F9" w14:textId="77777777" w:rsidR="0026071E" w:rsidRPr="0026071E" w:rsidRDefault="0026071E" w:rsidP="0026071E">
            <w:pPr>
              <w:pStyle w:val="NormalWeb"/>
              <w:spacing w:before="0" w:beforeAutospacing="0" w:after="0" w:afterAutospacing="0"/>
              <w:rPr>
                <w:sz w:val="22"/>
                <w:szCs w:val="22"/>
              </w:rPr>
            </w:pPr>
            <w:r w:rsidRPr="0026071E">
              <w:rPr>
                <w:rFonts w:ascii="Calibri" w:hAnsi="Calibri" w:cs="Calibri"/>
                <w:color w:val="000000"/>
                <w:sz w:val="18"/>
                <w:szCs w:val="18"/>
              </w:rPr>
              <w:t>Week 36</w:t>
            </w:r>
          </w:p>
          <w:p w14:paraId="0A80D94F" w14:textId="77777777" w:rsidR="00062DBF" w:rsidRDefault="00062DBF" w:rsidP="0026071E">
            <w:pPr>
              <w:pStyle w:val="NoSpacing"/>
              <w:rPr>
                <w:rFonts w:cs="Calibri"/>
                <w:color w:val="000000"/>
                <w:sz w:val="18"/>
                <w:szCs w:val="18"/>
              </w:rPr>
            </w:pPr>
          </w:p>
          <w:p w14:paraId="58F53C8E" w14:textId="590E091F" w:rsidR="00075FF4" w:rsidRDefault="002E1D13" w:rsidP="0026071E">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3D8D4C81" w:rsidR="00075FF4" w:rsidRPr="0057302A" w:rsidRDefault="00075FF4" w:rsidP="00075FF4">
            <w:pPr>
              <w:spacing w:after="0" w:line="240" w:lineRule="auto"/>
              <w:rPr>
                <w:rStyle w:val="textexposedshow"/>
                <w:rFonts w:cs="Calibri"/>
                <w:color w:val="1D2129"/>
                <w:sz w:val="20"/>
                <w:szCs w:val="20"/>
              </w:rPr>
            </w:pPr>
          </w:p>
        </w:tc>
        <w:tc>
          <w:tcPr>
            <w:tcW w:w="2268" w:type="dxa"/>
          </w:tcPr>
          <w:p w14:paraId="1B8BD92E" w14:textId="6264513C" w:rsidR="00075FF4" w:rsidRPr="0057302A" w:rsidRDefault="00075FF4" w:rsidP="00075FF4">
            <w:pPr>
              <w:spacing w:after="0" w:line="240" w:lineRule="auto"/>
              <w:rPr>
                <w:rStyle w:val="textexposedshow"/>
                <w:rFonts w:cs="Calibri"/>
                <w:color w:val="1D2129"/>
                <w:sz w:val="20"/>
                <w:szCs w:val="20"/>
              </w:rPr>
            </w:pP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A45A61D" w14:textId="5C9BDC6E" w:rsidR="00075FF4" w:rsidRPr="00D04580" w:rsidRDefault="00075FF4" w:rsidP="00FA5DB1">
            <w:pPr>
              <w:spacing w:after="0"/>
              <w:rPr>
                <w:rStyle w:val="textexposedshow"/>
                <w:rFonts w:cs="Calibri"/>
                <w:color w:val="1D2129"/>
                <w:sz w:val="20"/>
                <w:szCs w:val="20"/>
              </w:rPr>
            </w:pPr>
          </w:p>
        </w:tc>
        <w:tc>
          <w:tcPr>
            <w:tcW w:w="3402" w:type="dxa"/>
          </w:tcPr>
          <w:p w14:paraId="0A4F9725" w14:textId="77777777" w:rsidR="00EA11C0" w:rsidRDefault="00EA11C0" w:rsidP="00EA11C0">
            <w:pPr>
              <w:rPr>
                <w:i/>
              </w:rPr>
            </w:pPr>
            <w:r>
              <w:rPr>
                <w:i/>
              </w:rPr>
              <w:t>The organisation of educators reflects the unique geographical, cultural, and community context of the service. For example:</w:t>
            </w:r>
          </w:p>
          <w:p w14:paraId="2A660F34" w14:textId="77777777" w:rsidR="00EA11C0" w:rsidRDefault="00EA11C0" w:rsidP="00EA11C0">
            <w:pPr>
              <w:numPr>
                <w:ilvl w:val="0"/>
                <w:numId w:val="43"/>
              </w:numPr>
              <w:pBdr>
                <w:top w:val="nil"/>
                <w:left w:val="nil"/>
                <w:bottom w:val="nil"/>
                <w:right w:val="nil"/>
                <w:between w:val="nil"/>
              </w:pBdr>
              <w:spacing w:after="0" w:line="259" w:lineRule="auto"/>
              <w:rPr>
                <w:color w:val="FF0000"/>
              </w:rPr>
            </w:pPr>
            <w:r>
              <w:rPr>
                <w:color w:val="FF0000"/>
              </w:rPr>
              <w:lastRenderedPageBreak/>
              <w:t xml:space="preserve">placing educators with </w:t>
            </w:r>
            <w:proofErr w:type="gramStart"/>
            <w:r>
              <w:rPr>
                <w:color w:val="FF0000"/>
              </w:rPr>
              <w:t>particular cultural/language</w:t>
            </w:r>
            <w:proofErr w:type="gramEnd"/>
            <w:r>
              <w:rPr>
                <w:color w:val="FF0000"/>
              </w:rPr>
              <w:t xml:space="preserve"> backgrounds with children whose families have the same culture/language</w:t>
            </w:r>
          </w:p>
          <w:p w14:paraId="2862108A" w14:textId="77777777" w:rsidR="00EA11C0" w:rsidRDefault="00EA11C0" w:rsidP="00EA11C0">
            <w:pPr>
              <w:numPr>
                <w:ilvl w:val="0"/>
                <w:numId w:val="43"/>
              </w:numPr>
              <w:pBdr>
                <w:top w:val="nil"/>
                <w:left w:val="nil"/>
                <w:bottom w:val="nil"/>
                <w:right w:val="nil"/>
                <w:between w:val="nil"/>
              </w:pBdr>
              <w:spacing w:after="0" w:line="259" w:lineRule="auto"/>
              <w:rPr>
                <w:color w:val="FF0000"/>
              </w:rPr>
            </w:pPr>
            <w:r>
              <w:rPr>
                <w:color w:val="FF0000"/>
              </w:rPr>
              <w:t xml:space="preserve">fulfilling supervision requirements related to outdoor environmental features in or near the service (ponds, creeks, dams, hills) </w:t>
            </w:r>
          </w:p>
          <w:p w14:paraId="55213F05" w14:textId="77777777" w:rsidR="00EA11C0" w:rsidRDefault="00EA11C0" w:rsidP="00EA11C0">
            <w:pPr>
              <w:numPr>
                <w:ilvl w:val="0"/>
                <w:numId w:val="43"/>
              </w:numPr>
              <w:pBdr>
                <w:top w:val="nil"/>
                <w:left w:val="nil"/>
                <w:bottom w:val="nil"/>
                <w:right w:val="nil"/>
                <w:between w:val="nil"/>
              </w:pBdr>
              <w:spacing w:after="0" w:line="259" w:lineRule="auto"/>
              <w:rPr>
                <w:color w:val="FF0000"/>
              </w:rPr>
            </w:pPr>
            <w:r>
              <w:rPr>
                <w:color w:val="FF0000"/>
              </w:rPr>
              <w:t xml:space="preserve">considering educators’ strengths/interests from a community perspective. Where this is a strong community football program, the service places educators with football skills with active boys/girls. In a farming community, the service organises educators with this background to greet and interact with families. In a community that has fetes, shopping centre displays, and parades, the service places educators with strong creative background with children participating in these events. </w:t>
            </w:r>
          </w:p>
          <w:p w14:paraId="4BC6729F" w14:textId="5376CB66" w:rsidR="00A93BCD" w:rsidRPr="0051497C" w:rsidRDefault="00A93BCD" w:rsidP="00194513">
            <w:pPr>
              <w:pBdr>
                <w:top w:val="nil"/>
                <w:left w:val="nil"/>
                <w:bottom w:val="nil"/>
                <w:right w:val="nil"/>
                <w:between w:val="nil"/>
              </w:pBdr>
              <w:spacing w:after="0" w:line="259" w:lineRule="auto"/>
              <w:rPr>
                <w:color w:val="FF0000"/>
              </w:rPr>
            </w:pP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635F543E"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194513">
        <w:rPr>
          <w:rFonts w:ascii="HelveticaNeue-Thin" w:hAnsi="HelveticaNeue-Thin" w:cs="HelveticaNeue-Thin"/>
          <w:b/>
          <w:bCs/>
          <w:color w:val="010202"/>
        </w:rPr>
        <w:t>4</w:t>
      </w:r>
      <w:r w:rsidR="004144DC">
        <w:rPr>
          <w:rFonts w:ascii="HelveticaNeue-Thin" w:hAnsi="HelveticaNeue-Thin" w:cs="HelveticaNeue-Thin"/>
          <w:b/>
          <w:bCs/>
          <w:color w:val="010202"/>
        </w:rPr>
        <w:t>.</w:t>
      </w:r>
      <w:r w:rsidR="0026071E">
        <w:rPr>
          <w:rFonts w:ascii="HelveticaNeue-Thin" w:hAnsi="HelveticaNeue-Thin" w:cs="HelveticaNeue-Thin"/>
          <w:b/>
          <w:bCs/>
          <w:color w:val="010202"/>
        </w:rPr>
        <w:t>1</w:t>
      </w:r>
      <w:r w:rsidR="009D0F8E">
        <w:rPr>
          <w:rFonts w:ascii="HelveticaNeue-Thin" w:hAnsi="HelveticaNeue-Thin" w:cs="HelveticaNeue-Thin"/>
          <w:b/>
          <w:bCs/>
          <w:color w:val="010202"/>
        </w:rPr>
        <w:t xml:space="preserve"> Staffing Arrangements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36D57463" w:rsidR="00B0081A" w:rsidRDefault="008D4EE1" w:rsidP="00B0081A">
            <w:pPr>
              <w:spacing w:after="0"/>
              <w:jc w:val="both"/>
              <w:rPr>
                <w:rFonts w:cs="Arial"/>
              </w:rPr>
            </w:pPr>
            <w:r w:rsidRPr="00B0081A">
              <w:rPr>
                <w:rFonts w:cs="Arial"/>
              </w:rPr>
              <w:t xml:space="preserve">In the strength example for element </w:t>
            </w:r>
            <w:r w:rsidR="00F67385">
              <w:rPr>
                <w:rFonts w:cs="Arial"/>
              </w:rPr>
              <w:t>4.</w:t>
            </w:r>
            <w:r w:rsidR="0026071E">
              <w:rPr>
                <w:rFonts w:cs="Arial"/>
              </w:rPr>
              <w:t>1.1</w:t>
            </w:r>
            <w:r w:rsidR="00862DE6">
              <w:rPr>
                <w:rFonts w:cs="Arial"/>
              </w:rPr>
              <w:t xml:space="preserve"> </w:t>
            </w:r>
            <w:r w:rsidRPr="00B0081A">
              <w:rPr>
                <w:rFonts w:cs="Arial"/>
              </w:rPr>
              <w:t>we have identified the following exceeding theme indicators:</w:t>
            </w:r>
          </w:p>
          <w:p w14:paraId="4E7DC49D" w14:textId="6504F4C9" w:rsidR="008D4EE1" w:rsidRPr="00E20089" w:rsidRDefault="002F13B7" w:rsidP="00BA0424">
            <w:pPr>
              <w:numPr>
                <w:ilvl w:val="0"/>
                <w:numId w:val="1"/>
              </w:numPr>
              <w:rPr>
                <w:rFonts w:cs="Arial"/>
                <w:iCs/>
              </w:rPr>
            </w:pPr>
            <w:r>
              <w:rPr>
                <w:i/>
              </w:rPr>
              <w:t>The organisation of educators, including relief educators, consistently aligns with the service philosophy, policies and procedures.</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0AF61C61" w:rsidR="00A16148" w:rsidRDefault="008D4EE1" w:rsidP="002D52F5">
            <w:pPr>
              <w:spacing w:after="0"/>
            </w:pPr>
            <w:r w:rsidRPr="00B0081A">
              <w:t xml:space="preserve">In the strength example for element </w:t>
            </w:r>
            <w:r w:rsidR="003B5235">
              <w:rPr>
                <w:rFonts w:cs="Arial"/>
              </w:rPr>
              <w:t>4.</w:t>
            </w:r>
            <w:r w:rsidR="0026071E">
              <w:rPr>
                <w:rFonts w:cs="Arial"/>
              </w:rPr>
              <w:t>1.1</w:t>
            </w:r>
            <w:r w:rsidRPr="00B0081A">
              <w:t xml:space="preserve"> we have identified the following exceeding theme indicators:</w:t>
            </w:r>
            <w:r w:rsidR="00A16148" w:rsidRPr="00B0081A">
              <w:t xml:space="preserve"> </w:t>
            </w:r>
          </w:p>
          <w:p w14:paraId="79641D8F" w14:textId="25F46F1B" w:rsidR="00B0081A" w:rsidRPr="00E20089" w:rsidRDefault="00D04421" w:rsidP="00405E26">
            <w:pPr>
              <w:numPr>
                <w:ilvl w:val="0"/>
                <w:numId w:val="1"/>
              </w:numPr>
              <w:spacing w:after="0"/>
              <w:rPr>
                <w:iCs/>
              </w:rPr>
            </w:pPr>
            <w:r>
              <w:rPr>
                <w:i/>
              </w:rPr>
              <w:t>We’ve made changes to the organisation of educators to enhance children’s learning outcomes for various reasons.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10A9F4A2" w:rsidR="00317C21" w:rsidRDefault="008D4EE1" w:rsidP="00B0081A">
            <w:pPr>
              <w:spacing w:after="0"/>
            </w:pPr>
            <w:r w:rsidRPr="00B0081A">
              <w:t xml:space="preserve">In the strength example for element </w:t>
            </w:r>
            <w:r w:rsidR="003B5235">
              <w:rPr>
                <w:rFonts w:cs="Arial"/>
              </w:rPr>
              <w:t>4.</w:t>
            </w:r>
            <w:r w:rsidR="0026071E">
              <w:rPr>
                <w:rFonts w:cs="Arial"/>
              </w:rPr>
              <w:t>1.1</w:t>
            </w:r>
            <w:r w:rsidRPr="00B0081A">
              <w:t xml:space="preserve"> we have identified the following exceeding theme indicators:</w:t>
            </w:r>
          </w:p>
          <w:p w14:paraId="6FF3C3FB" w14:textId="679B0DDE" w:rsidR="00B0081A" w:rsidRPr="006726C0" w:rsidRDefault="00861A2A" w:rsidP="007E14DC">
            <w:pPr>
              <w:numPr>
                <w:ilvl w:val="0"/>
                <w:numId w:val="32"/>
              </w:numPr>
              <w:rPr>
                <w:iCs/>
              </w:rPr>
            </w:pPr>
            <w:r>
              <w:rPr>
                <w:i/>
              </w:rPr>
              <w:t>The organisation of educators reflects the unique geographical, cultural, and community context of the service.</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4A6BF7"/>
    <w:multiLevelType w:val="multilevel"/>
    <w:tmpl w:val="746AA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C9559D8"/>
    <w:multiLevelType w:val="multilevel"/>
    <w:tmpl w:val="134A7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2"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8C324D2"/>
    <w:multiLevelType w:val="multilevel"/>
    <w:tmpl w:val="995E3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28"/>
  </w:num>
  <w:num w:numId="2" w16cid:durableId="2047951240">
    <w:abstractNumId w:val="33"/>
  </w:num>
  <w:num w:numId="3" w16cid:durableId="677923796">
    <w:abstractNumId w:val="25"/>
  </w:num>
  <w:num w:numId="4" w16cid:durableId="764031647">
    <w:abstractNumId w:val="31"/>
  </w:num>
  <w:num w:numId="5" w16cid:durableId="941841055">
    <w:abstractNumId w:val="38"/>
  </w:num>
  <w:num w:numId="6" w16cid:durableId="1583756430">
    <w:abstractNumId w:val="17"/>
  </w:num>
  <w:num w:numId="7" w16cid:durableId="1628855747">
    <w:abstractNumId w:val="14"/>
  </w:num>
  <w:num w:numId="8" w16cid:durableId="1581257911">
    <w:abstractNumId w:val="1"/>
  </w:num>
  <w:num w:numId="9" w16cid:durableId="1779835487">
    <w:abstractNumId w:val="2"/>
  </w:num>
  <w:num w:numId="10" w16cid:durableId="920917211">
    <w:abstractNumId w:val="10"/>
  </w:num>
  <w:num w:numId="11" w16cid:durableId="1668485436">
    <w:abstractNumId w:val="29"/>
  </w:num>
  <w:num w:numId="12" w16cid:durableId="181669609">
    <w:abstractNumId w:val="30"/>
  </w:num>
  <w:num w:numId="13" w16cid:durableId="1749885825">
    <w:abstractNumId w:val="37"/>
  </w:num>
  <w:num w:numId="14" w16cid:durableId="276302035">
    <w:abstractNumId w:val="41"/>
  </w:num>
  <w:num w:numId="15" w16cid:durableId="818883266">
    <w:abstractNumId w:val="23"/>
  </w:num>
  <w:num w:numId="16" w16cid:durableId="1715689987">
    <w:abstractNumId w:val="39"/>
  </w:num>
  <w:num w:numId="17" w16cid:durableId="836337608">
    <w:abstractNumId w:val="4"/>
  </w:num>
  <w:num w:numId="18" w16cid:durableId="2104764159">
    <w:abstractNumId w:val="7"/>
  </w:num>
  <w:num w:numId="19" w16cid:durableId="876548312">
    <w:abstractNumId w:val="35"/>
  </w:num>
  <w:num w:numId="20" w16cid:durableId="1603605334">
    <w:abstractNumId w:val="15"/>
  </w:num>
  <w:num w:numId="21" w16cid:durableId="713507571">
    <w:abstractNumId w:val="6"/>
  </w:num>
  <w:num w:numId="22" w16cid:durableId="650211910">
    <w:abstractNumId w:val="24"/>
  </w:num>
  <w:num w:numId="23" w16cid:durableId="1958945801">
    <w:abstractNumId w:val="40"/>
  </w:num>
  <w:num w:numId="24" w16cid:durableId="528756863">
    <w:abstractNumId w:val="5"/>
  </w:num>
  <w:num w:numId="25" w16cid:durableId="455609949">
    <w:abstractNumId w:val="11"/>
  </w:num>
  <w:num w:numId="26" w16cid:durableId="1865484709">
    <w:abstractNumId w:val="13"/>
  </w:num>
  <w:num w:numId="27" w16cid:durableId="537427685">
    <w:abstractNumId w:val="0"/>
  </w:num>
  <w:num w:numId="28" w16cid:durableId="423494888">
    <w:abstractNumId w:val="32"/>
  </w:num>
  <w:num w:numId="29" w16cid:durableId="1675764481">
    <w:abstractNumId w:val="12"/>
  </w:num>
  <w:num w:numId="30" w16cid:durableId="64569135">
    <w:abstractNumId w:val="3"/>
  </w:num>
  <w:num w:numId="31" w16cid:durableId="475535588">
    <w:abstractNumId w:val="36"/>
  </w:num>
  <w:num w:numId="32" w16cid:durableId="782191672">
    <w:abstractNumId w:val="27"/>
  </w:num>
  <w:num w:numId="33" w16cid:durableId="1510679432">
    <w:abstractNumId w:val="22"/>
  </w:num>
  <w:num w:numId="34" w16cid:durableId="1912235038">
    <w:abstractNumId w:val="26"/>
  </w:num>
  <w:num w:numId="35" w16cid:durableId="1226380040">
    <w:abstractNumId w:val="21"/>
  </w:num>
  <w:num w:numId="36" w16cid:durableId="1085570105">
    <w:abstractNumId w:val="18"/>
  </w:num>
  <w:num w:numId="37" w16cid:durableId="151798293">
    <w:abstractNumId w:val="8"/>
  </w:num>
  <w:num w:numId="38" w16cid:durableId="415634888">
    <w:abstractNumId w:val="19"/>
  </w:num>
  <w:num w:numId="39" w16cid:durableId="762577756">
    <w:abstractNumId w:val="16"/>
  </w:num>
  <w:num w:numId="40" w16cid:durableId="1225987413">
    <w:abstractNumId w:val="34"/>
  </w:num>
  <w:num w:numId="41" w16cid:durableId="1118329054">
    <w:abstractNumId w:val="42"/>
  </w:num>
  <w:num w:numId="42" w16cid:durableId="1904020558">
    <w:abstractNumId w:val="9"/>
  </w:num>
  <w:num w:numId="43" w16cid:durableId="188594076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11FA"/>
    <w:rsid w:val="00022373"/>
    <w:rsid w:val="00025665"/>
    <w:rsid w:val="00026CB6"/>
    <w:rsid w:val="0003105E"/>
    <w:rsid w:val="00031283"/>
    <w:rsid w:val="0003165A"/>
    <w:rsid w:val="000339A3"/>
    <w:rsid w:val="00035EBC"/>
    <w:rsid w:val="00037A60"/>
    <w:rsid w:val="000454C1"/>
    <w:rsid w:val="00045E1F"/>
    <w:rsid w:val="0005176B"/>
    <w:rsid w:val="00051D03"/>
    <w:rsid w:val="0005609F"/>
    <w:rsid w:val="00056BFD"/>
    <w:rsid w:val="00060D24"/>
    <w:rsid w:val="00062DBF"/>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86F41"/>
    <w:rsid w:val="00090658"/>
    <w:rsid w:val="00091A4F"/>
    <w:rsid w:val="00093FB2"/>
    <w:rsid w:val="000945E9"/>
    <w:rsid w:val="000A11D1"/>
    <w:rsid w:val="000A158B"/>
    <w:rsid w:val="000A311A"/>
    <w:rsid w:val="000A3F19"/>
    <w:rsid w:val="000A51DE"/>
    <w:rsid w:val="000B3CC4"/>
    <w:rsid w:val="000C0A30"/>
    <w:rsid w:val="000C1591"/>
    <w:rsid w:val="000C2FD4"/>
    <w:rsid w:val="000C3AC2"/>
    <w:rsid w:val="000D1200"/>
    <w:rsid w:val="000D3CA2"/>
    <w:rsid w:val="000D5052"/>
    <w:rsid w:val="000E2B80"/>
    <w:rsid w:val="000E3819"/>
    <w:rsid w:val="000E5D82"/>
    <w:rsid w:val="000F0723"/>
    <w:rsid w:val="000F18D1"/>
    <w:rsid w:val="000F6C6E"/>
    <w:rsid w:val="001044EC"/>
    <w:rsid w:val="00104C5E"/>
    <w:rsid w:val="00105653"/>
    <w:rsid w:val="0010572E"/>
    <w:rsid w:val="0011160F"/>
    <w:rsid w:val="00112C30"/>
    <w:rsid w:val="00112E42"/>
    <w:rsid w:val="001164FA"/>
    <w:rsid w:val="001217DD"/>
    <w:rsid w:val="00121F13"/>
    <w:rsid w:val="00123DCB"/>
    <w:rsid w:val="00124E4E"/>
    <w:rsid w:val="001251A9"/>
    <w:rsid w:val="001271F8"/>
    <w:rsid w:val="001324D5"/>
    <w:rsid w:val="00133413"/>
    <w:rsid w:val="00141A01"/>
    <w:rsid w:val="00151BDD"/>
    <w:rsid w:val="00153049"/>
    <w:rsid w:val="00154B17"/>
    <w:rsid w:val="00157AAF"/>
    <w:rsid w:val="00167F2F"/>
    <w:rsid w:val="00170A86"/>
    <w:rsid w:val="001726A6"/>
    <w:rsid w:val="00172A26"/>
    <w:rsid w:val="0017442A"/>
    <w:rsid w:val="00174938"/>
    <w:rsid w:val="00175F6E"/>
    <w:rsid w:val="00181B3D"/>
    <w:rsid w:val="00183D3F"/>
    <w:rsid w:val="0019424B"/>
    <w:rsid w:val="00194513"/>
    <w:rsid w:val="00196264"/>
    <w:rsid w:val="00197FA5"/>
    <w:rsid w:val="001A45AA"/>
    <w:rsid w:val="001B236B"/>
    <w:rsid w:val="001B443E"/>
    <w:rsid w:val="001B71DB"/>
    <w:rsid w:val="001B74D4"/>
    <w:rsid w:val="001C210D"/>
    <w:rsid w:val="001C3341"/>
    <w:rsid w:val="001C4694"/>
    <w:rsid w:val="001C730C"/>
    <w:rsid w:val="001D0426"/>
    <w:rsid w:val="001D2A37"/>
    <w:rsid w:val="001D2BE0"/>
    <w:rsid w:val="001D5641"/>
    <w:rsid w:val="001D7190"/>
    <w:rsid w:val="001E0610"/>
    <w:rsid w:val="001E3301"/>
    <w:rsid w:val="001E3EFD"/>
    <w:rsid w:val="001F01B8"/>
    <w:rsid w:val="001F0D09"/>
    <w:rsid w:val="001F0F7A"/>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640"/>
    <w:rsid w:val="00254010"/>
    <w:rsid w:val="0025451E"/>
    <w:rsid w:val="002607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E0BB0"/>
    <w:rsid w:val="002E0DE0"/>
    <w:rsid w:val="002E1D13"/>
    <w:rsid w:val="002F13B7"/>
    <w:rsid w:val="002F3B5C"/>
    <w:rsid w:val="002F63CF"/>
    <w:rsid w:val="00300E2B"/>
    <w:rsid w:val="00305799"/>
    <w:rsid w:val="003075EE"/>
    <w:rsid w:val="003135F4"/>
    <w:rsid w:val="0031630F"/>
    <w:rsid w:val="00317C21"/>
    <w:rsid w:val="003213A8"/>
    <w:rsid w:val="003216A2"/>
    <w:rsid w:val="00324719"/>
    <w:rsid w:val="003258B2"/>
    <w:rsid w:val="0032655B"/>
    <w:rsid w:val="003326FA"/>
    <w:rsid w:val="00333320"/>
    <w:rsid w:val="003348A2"/>
    <w:rsid w:val="003356EF"/>
    <w:rsid w:val="00343503"/>
    <w:rsid w:val="0034477A"/>
    <w:rsid w:val="00344B26"/>
    <w:rsid w:val="00344F31"/>
    <w:rsid w:val="00346016"/>
    <w:rsid w:val="0034640E"/>
    <w:rsid w:val="00352B4D"/>
    <w:rsid w:val="00356B44"/>
    <w:rsid w:val="00360213"/>
    <w:rsid w:val="00363C24"/>
    <w:rsid w:val="00364EC5"/>
    <w:rsid w:val="00367E38"/>
    <w:rsid w:val="003713DA"/>
    <w:rsid w:val="00371FE4"/>
    <w:rsid w:val="003723E1"/>
    <w:rsid w:val="00373034"/>
    <w:rsid w:val="00375163"/>
    <w:rsid w:val="003760AF"/>
    <w:rsid w:val="00376B51"/>
    <w:rsid w:val="00376DA0"/>
    <w:rsid w:val="00380006"/>
    <w:rsid w:val="0038516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5235"/>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04D2"/>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75A5"/>
    <w:rsid w:val="0051497C"/>
    <w:rsid w:val="00516B27"/>
    <w:rsid w:val="005221D1"/>
    <w:rsid w:val="005241E0"/>
    <w:rsid w:val="00525761"/>
    <w:rsid w:val="0052684B"/>
    <w:rsid w:val="00533F98"/>
    <w:rsid w:val="0053583E"/>
    <w:rsid w:val="00535AA7"/>
    <w:rsid w:val="0054089A"/>
    <w:rsid w:val="00543B96"/>
    <w:rsid w:val="0055403C"/>
    <w:rsid w:val="00555503"/>
    <w:rsid w:val="00556D44"/>
    <w:rsid w:val="005628D0"/>
    <w:rsid w:val="00562FA4"/>
    <w:rsid w:val="0056401C"/>
    <w:rsid w:val="00564EC3"/>
    <w:rsid w:val="0057036B"/>
    <w:rsid w:val="00572070"/>
    <w:rsid w:val="0057302A"/>
    <w:rsid w:val="00582E98"/>
    <w:rsid w:val="005843A0"/>
    <w:rsid w:val="00586927"/>
    <w:rsid w:val="00587009"/>
    <w:rsid w:val="00587A0D"/>
    <w:rsid w:val="005935DC"/>
    <w:rsid w:val="00594EBE"/>
    <w:rsid w:val="00595ED2"/>
    <w:rsid w:val="00597244"/>
    <w:rsid w:val="005A4390"/>
    <w:rsid w:val="005B0F67"/>
    <w:rsid w:val="005B1694"/>
    <w:rsid w:val="005B3DB3"/>
    <w:rsid w:val="005B45F2"/>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C0"/>
    <w:rsid w:val="006726FC"/>
    <w:rsid w:val="00673A0C"/>
    <w:rsid w:val="00675968"/>
    <w:rsid w:val="00680B99"/>
    <w:rsid w:val="00680BB2"/>
    <w:rsid w:val="00682AC5"/>
    <w:rsid w:val="00682D12"/>
    <w:rsid w:val="0068332A"/>
    <w:rsid w:val="006854E1"/>
    <w:rsid w:val="00685999"/>
    <w:rsid w:val="00686EBD"/>
    <w:rsid w:val="006949BC"/>
    <w:rsid w:val="006954B0"/>
    <w:rsid w:val="006A1A26"/>
    <w:rsid w:val="006A32AA"/>
    <w:rsid w:val="006A46AF"/>
    <w:rsid w:val="006A50CA"/>
    <w:rsid w:val="006A5B59"/>
    <w:rsid w:val="006A6A82"/>
    <w:rsid w:val="006B5D09"/>
    <w:rsid w:val="006B763B"/>
    <w:rsid w:val="006B7D9A"/>
    <w:rsid w:val="006B7FDD"/>
    <w:rsid w:val="006C2153"/>
    <w:rsid w:val="006C24B4"/>
    <w:rsid w:val="006C366A"/>
    <w:rsid w:val="006C425A"/>
    <w:rsid w:val="006C6894"/>
    <w:rsid w:val="006D39AB"/>
    <w:rsid w:val="006E039B"/>
    <w:rsid w:val="006E20AC"/>
    <w:rsid w:val="006E3153"/>
    <w:rsid w:val="006E431E"/>
    <w:rsid w:val="006E6F78"/>
    <w:rsid w:val="006F3FD1"/>
    <w:rsid w:val="006F4E86"/>
    <w:rsid w:val="0070014D"/>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2987"/>
    <w:rsid w:val="00722FEB"/>
    <w:rsid w:val="00724641"/>
    <w:rsid w:val="00727CDC"/>
    <w:rsid w:val="007314DB"/>
    <w:rsid w:val="00732F54"/>
    <w:rsid w:val="00740287"/>
    <w:rsid w:val="007404B7"/>
    <w:rsid w:val="00740FED"/>
    <w:rsid w:val="00742191"/>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4416"/>
    <w:rsid w:val="00774544"/>
    <w:rsid w:val="0077504B"/>
    <w:rsid w:val="007757E8"/>
    <w:rsid w:val="00776C99"/>
    <w:rsid w:val="0077725D"/>
    <w:rsid w:val="0078052F"/>
    <w:rsid w:val="0078227D"/>
    <w:rsid w:val="007834AC"/>
    <w:rsid w:val="00785715"/>
    <w:rsid w:val="00785EF1"/>
    <w:rsid w:val="00786889"/>
    <w:rsid w:val="00786B20"/>
    <w:rsid w:val="00786BB5"/>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D726B"/>
    <w:rsid w:val="007E14DC"/>
    <w:rsid w:val="007E1B14"/>
    <w:rsid w:val="007E30B6"/>
    <w:rsid w:val="007E3D7C"/>
    <w:rsid w:val="007E7D09"/>
    <w:rsid w:val="007F12C2"/>
    <w:rsid w:val="007F1401"/>
    <w:rsid w:val="007F216B"/>
    <w:rsid w:val="00801082"/>
    <w:rsid w:val="00805B51"/>
    <w:rsid w:val="00810A25"/>
    <w:rsid w:val="00812139"/>
    <w:rsid w:val="008135CE"/>
    <w:rsid w:val="00813870"/>
    <w:rsid w:val="00814A74"/>
    <w:rsid w:val="00814B93"/>
    <w:rsid w:val="00821FE5"/>
    <w:rsid w:val="008221C9"/>
    <w:rsid w:val="00825382"/>
    <w:rsid w:val="008258F0"/>
    <w:rsid w:val="00826FA6"/>
    <w:rsid w:val="00827D1F"/>
    <w:rsid w:val="00831266"/>
    <w:rsid w:val="00832EEC"/>
    <w:rsid w:val="00833D2B"/>
    <w:rsid w:val="00836869"/>
    <w:rsid w:val="008400CB"/>
    <w:rsid w:val="00841175"/>
    <w:rsid w:val="0084209F"/>
    <w:rsid w:val="0084420F"/>
    <w:rsid w:val="0085247F"/>
    <w:rsid w:val="00853945"/>
    <w:rsid w:val="00854ADB"/>
    <w:rsid w:val="00854D8A"/>
    <w:rsid w:val="00855049"/>
    <w:rsid w:val="00855926"/>
    <w:rsid w:val="00860572"/>
    <w:rsid w:val="0086083D"/>
    <w:rsid w:val="00861A2A"/>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2D5"/>
    <w:rsid w:val="008A08D2"/>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8F3E99"/>
    <w:rsid w:val="008F7DE3"/>
    <w:rsid w:val="00900B3F"/>
    <w:rsid w:val="00900DEE"/>
    <w:rsid w:val="00901206"/>
    <w:rsid w:val="009017CC"/>
    <w:rsid w:val="00902F29"/>
    <w:rsid w:val="0090377D"/>
    <w:rsid w:val="009038A0"/>
    <w:rsid w:val="00904450"/>
    <w:rsid w:val="00911663"/>
    <w:rsid w:val="009139AF"/>
    <w:rsid w:val="00913CE6"/>
    <w:rsid w:val="009149D3"/>
    <w:rsid w:val="00914F9D"/>
    <w:rsid w:val="00917C3E"/>
    <w:rsid w:val="009255B0"/>
    <w:rsid w:val="009306A2"/>
    <w:rsid w:val="00931767"/>
    <w:rsid w:val="00934C30"/>
    <w:rsid w:val="00935E5E"/>
    <w:rsid w:val="00937DAA"/>
    <w:rsid w:val="0094384C"/>
    <w:rsid w:val="00946361"/>
    <w:rsid w:val="0095059F"/>
    <w:rsid w:val="00952F13"/>
    <w:rsid w:val="00955648"/>
    <w:rsid w:val="009570BB"/>
    <w:rsid w:val="00963E38"/>
    <w:rsid w:val="00966A5B"/>
    <w:rsid w:val="00970BD6"/>
    <w:rsid w:val="00973115"/>
    <w:rsid w:val="00974145"/>
    <w:rsid w:val="009742F7"/>
    <w:rsid w:val="009761CB"/>
    <w:rsid w:val="009772C4"/>
    <w:rsid w:val="009822EF"/>
    <w:rsid w:val="00982C68"/>
    <w:rsid w:val="00987ECA"/>
    <w:rsid w:val="00992DEA"/>
    <w:rsid w:val="009934D5"/>
    <w:rsid w:val="00993651"/>
    <w:rsid w:val="00993BDE"/>
    <w:rsid w:val="009A05E5"/>
    <w:rsid w:val="009A1A41"/>
    <w:rsid w:val="009A32B5"/>
    <w:rsid w:val="009A4869"/>
    <w:rsid w:val="009A5DBF"/>
    <w:rsid w:val="009B0B22"/>
    <w:rsid w:val="009B4161"/>
    <w:rsid w:val="009B5B52"/>
    <w:rsid w:val="009B5D08"/>
    <w:rsid w:val="009C1149"/>
    <w:rsid w:val="009C16D7"/>
    <w:rsid w:val="009C7131"/>
    <w:rsid w:val="009D0F8E"/>
    <w:rsid w:val="009D1CB0"/>
    <w:rsid w:val="009D4AAF"/>
    <w:rsid w:val="009D6827"/>
    <w:rsid w:val="009D7610"/>
    <w:rsid w:val="009E0A48"/>
    <w:rsid w:val="009E131A"/>
    <w:rsid w:val="009E27D0"/>
    <w:rsid w:val="009E47BF"/>
    <w:rsid w:val="009E5698"/>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44CF8"/>
    <w:rsid w:val="00A459FF"/>
    <w:rsid w:val="00A46767"/>
    <w:rsid w:val="00A473BC"/>
    <w:rsid w:val="00A5063A"/>
    <w:rsid w:val="00A52014"/>
    <w:rsid w:val="00A52B1A"/>
    <w:rsid w:val="00A543C3"/>
    <w:rsid w:val="00A543E4"/>
    <w:rsid w:val="00A57645"/>
    <w:rsid w:val="00A64C08"/>
    <w:rsid w:val="00A723A6"/>
    <w:rsid w:val="00A74930"/>
    <w:rsid w:val="00A749BE"/>
    <w:rsid w:val="00A75237"/>
    <w:rsid w:val="00A77060"/>
    <w:rsid w:val="00A77809"/>
    <w:rsid w:val="00A8041D"/>
    <w:rsid w:val="00A80F61"/>
    <w:rsid w:val="00A85FA0"/>
    <w:rsid w:val="00A87C83"/>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40C4"/>
    <w:rsid w:val="00AD45BB"/>
    <w:rsid w:val="00AE0846"/>
    <w:rsid w:val="00AE21B0"/>
    <w:rsid w:val="00AE28C5"/>
    <w:rsid w:val="00AE658F"/>
    <w:rsid w:val="00AE6758"/>
    <w:rsid w:val="00AF0C4B"/>
    <w:rsid w:val="00AF0F36"/>
    <w:rsid w:val="00AF52D0"/>
    <w:rsid w:val="00AF5BDA"/>
    <w:rsid w:val="00AF6831"/>
    <w:rsid w:val="00B0081A"/>
    <w:rsid w:val="00B01D41"/>
    <w:rsid w:val="00B03552"/>
    <w:rsid w:val="00B07213"/>
    <w:rsid w:val="00B07C08"/>
    <w:rsid w:val="00B120A0"/>
    <w:rsid w:val="00B1342E"/>
    <w:rsid w:val="00B148BD"/>
    <w:rsid w:val="00B175DB"/>
    <w:rsid w:val="00B25C52"/>
    <w:rsid w:val="00B27225"/>
    <w:rsid w:val="00B32C03"/>
    <w:rsid w:val="00B33BD6"/>
    <w:rsid w:val="00B346E4"/>
    <w:rsid w:val="00B347E5"/>
    <w:rsid w:val="00B34F39"/>
    <w:rsid w:val="00B359A8"/>
    <w:rsid w:val="00B40586"/>
    <w:rsid w:val="00B42004"/>
    <w:rsid w:val="00B43418"/>
    <w:rsid w:val="00B43553"/>
    <w:rsid w:val="00B4540E"/>
    <w:rsid w:val="00B463E3"/>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E71D8"/>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52F"/>
    <w:rsid w:val="00C16228"/>
    <w:rsid w:val="00C17D55"/>
    <w:rsid w:val="00C20921"/>
    <w:rsid w:val="00C2212A"/>
    <w:rsid w:val="00C305A6"/>
    <w:rsid w:val="00C30F04"/>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5D2C"/>
    <w:rsid w:val="00C773CF"/>
    <w:rsid w:val="00C8413D"/>
    <w:rsid w:val="00C84374"/>
    <w:rsid w:val="00C849DD"/>
    <w:rsid w:val="00C8709F"/>
    <w:rsid w:val="00C872C1"/>
    <w:rsid w:val="00C94DF1"/>
    <w:rsid w:val="00C9694E"/>
    <w:rsid w:val="00CA0721"/>
    <w:rsid w:val="00CA1C7A"/>
    <w:rsid w:val="00CA2C1F"/>
    <w:rsid w:val="00CA5AFE"/>
    <w:rsid w:val="00CA6493"/>
    <w:rsid w:val="00CA67B0"/>
    <w:rsid w:val="00CB167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F4"/>
    <w:rsid w:val="00CE7F01"/>
    <w:rsid w:val="00CF3931"/>
    <w:rsid w:val="00CF4465"/>
    <w:rsid w:val="00CF5F2F"/>
    <w:rsid w:val="00CF677C"/>
    <w:rsid w:val="00CF74C0"/>
    <w:rsid w:val="00D01428"/>
    <w:rsid w:val="00D015DC"/>
    <w:rsid w:val="00D01A73"/>
    <w:rsid w:val="00D01C9F"/>
    <w:rsid w:val="00D01CF9"/>
    <w:rsid w:val="00D04421"/>
    <w:rsid w:val="00D04580"/>
    <w:rsid w:val="00D04CFC"/>
    <w:rsid w:val="00D06470"/>
    <w:rsid w:val="00D06696"/>
    <w:rsid w:val="00D0741D"/>
    <w:rsid w:val="00D107F3"/>
    <w:rsid w:val="00D11C9C"/>
    <w:rsid w:val="00D1525E"/>
    <w:rsid w:val="00D20C61"/>
    <w:rsid w:val="00D22FC8"/>
    <w:rsid w:val="00D239F0"/>
    <w:rsid w:val="00D26DAD"/>
    <w:rsid w:val="00D3166F"/>
    <w:rsid w:val="00D31BE2"/>
    <w:rsid w:val="00D34E0E"/>
    <w:rsid w:val="00D40EAE"/>
    <w:rsid w:val="00D412AB"/>
    <w:rsid w:val="00D445F9"/>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C23"/>
    <w:rsid w:val="00DA7460"/>
    <w:rsid w:val="00DB3A0C"/>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17594"/>
    <w:rsid w:val="00E20089"/>
    <w:rsid w:val="00E20094"/>
    <w:rsid w:val="00E24624"/>
    <w:rsid w:val="00E2620E"/>
    <w:rsid w:val="00E266D7"/>
    <w:rsid w:val="00E267B3"/>
    <w:rsid w:val="00E35359"/>
    <w:rsid w:val="00E35C2D"/>
    <w:rsid w:val="00E36479"/>
    <w:rsid w:val="00E36D48"/>
    <w:rsid w:val="00E377DD"/>
    <w:rsid w:val="00E42632"/>
    <w:rsid w:val="00E4274D"/>
    <w:rsid w:val="00E4571D"/>
    <w:rsid w:val="00E5060A"/>
    <w:rsid w:val="00E55537"/>
    <w:rsid w:val="00E57888"/>
    <w:rsid w:val="00E57A01"/>
    <w:rsid w:val="00E63125"/>
    <w:rsid w:val="00E7045F"/>
    <w:rsid w:val="00E73ED8"/>
    <w:rsid w:val="00E77664"/>
    <w:rsid w:val="00E825CF"/>
    <w:rsid w:val="00E85CD3"/>
    <w:rsid w:val="00E864AB"/>
    <w:rsid w:val="00E86906"/>
    <w:rsid w:val="00E94017"/>
    <w:rsid w:val="00E944A5"/>
    <w:rsid w:val="00E96BD9"/>
    <w:rsid w:val="00E96F57"/>
    <w:rsid w:val="00EA11C0"/>
    <w:rsid w:val="00EA277B"/>
    <w:rsid w:val="00EA5602"/>
    <w:rsid w:val="00EA63A6"/>
    <w:rsid w:val="00EA7D8E"/>
    <w:rsid w:val="00EB0EF4"/>
    <w:rsid w:val="00EB22F4"/>
    <w:rsid w:val="00EB50B4"/>
    <w:rsid w:val="00EB779D"/>
    <w:rsid w:val="00EC0343"/>
    <w:rsid w:val="00EC1E68"/>
    <w:rsid w:val="00EC21CA"/>
    <w:rsid w:val="00EC6860"/>
    <w:rsid w:val="00ED0F45"/>
    <w:rsid w:val="00ED5D31"/>
    <w:rsid w:val="00EE3AB1"/>
    <w:rsid w:val="00EE633C"/>
    <w:rsid w:val="00EF24BE"/>
    <w:rsid w:val="00EF3D4E"/>
    <w:rsid w:val="00EF7925"/>
    <w:rsid w:val="00EF7CA1"/>
    <w:rsid w:val="00F00973"/>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470C"/>
    <w:rsid w:val="00F3673B"/>
    <w:rsid w:val="00F40751"/>
    <w:rsid w:val="00F41E89"/>
    <w:rsid w:val="00F42DC3"/>
    <w:rsid w:val="00F455A7"/>
    <w:rsid w:val="00F47E92"/>
    <w:rsid w:val="00F52656"/>
    <w:rsid w:val="00F52D61"/>
    <w:rsid w:val="00F558DD"/>
    <w:rsid w:val="00F6061B"/>
    <w:rsid w:val="00F67229"/>
    <w:rsid w:val="00F67385"/>
    <w:rsid w:val="00F70555"/>
    <w:rsid w:val="00F70ADF"/>
    <w:rsid w:val="00F720E3"/>
    <w:rsid w:val="00F728A4"/>
    <w:rsid w:val="00F7740F"/>
    <w:rsid w:val="00F810DF"/>
    <w:rsid w:val="00F90E2B"/>
    <w:rsid w:val="00F90FB6"/>
    <w:rsid w:val="00F925EF"/>
    <w:rsid w:val="00F92DDA"/>
    <w:rsid w:val="00F955C8"/>
    <w:rsid w:val="00FA2FC6"/>
    <w:rsid w:val="00FA536C"/>
    <w:rsid w:val="00FA5AD5"/>
    <w:rsid w:val="00FA5DB1"/>
    <w:rsid w:val="00FA6F8F"/>
    <w:rsid w:val="00FB0097"/>
    <w:rsid w:val="00FB0C7D"/>
    <w:rsid w:val="00FB1FDB"/>
    <w:rsid w:val="00FB5889"/>
    <w:rsid w:val="00FB5BF7"/>
    <w:rsid w:val="00FC2A9A"/>
    <w:rsid w:val="00FC2C06"/>
    <w:rsid w:val="00FC39DC"/>
    <w:rsid w:val="00FC67A5"/>
    <w:rsid w:val="00FD05E0"/>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77751265">
      <w:bodyDiv w:val="1"/>
      <w:marLeft w:val="0"/>
      <w:marRight w:val="0"/>
      <w:marTop w:val="0"/>
      <w:marBottom w:val="0"/>
      <w:divBdr>
        <w:top w:val="none" w:sz="0" w:space="0" w:color="auto"/>
        <w:left w:val="none" w:sz="0" w:space="0" w:color="auto"/>
        <w:bottom w:val="none" w:sz="0" w:space="0" w:color="auto"/>
        <w:right w:val="none" w:sz="0" w:space="0" w:color="auto"/>
      </w:divBdr>
    </w:div>
    <w:div w:id="14142845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2538728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2.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4.xml><?xml version="1.0" encoding="utf-8"?>
<ds:datastoreItem xmlns:ds="http://schemas.openxmlformats.org/officeDocument/2006/customXml" ds:itemID="{7CA7AF0A-9C22-4B2A-BE37-18F4492AD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5</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272</cp:revision>
  <dcterms:created xsi:type="dcterms:W3CDTF">2023-03-23T23:03:00Z</dcterms:created>
  <dcterms:modified xsi:type="dcterms:W3CDTF">2024-11-07T05:27:00Z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