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2AC9033F"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4D3D47">
        <w:rPr>
          <w:rFonts w:ascii="HelveticaNeue-Thin" w:hAnsi="HelveticaNeue-Thin" w:cs="HelveticaNeue-Thin"/>
          <w:color w:val="010202"/>
          <w:sz w:val="28"/>
          <w:szCs w:val="28"/>
        </w:rPr>
        <w:t>7</w:t>
      </w:r>
      <w:r w:rsidR="009A460D">
        <w:rPr>
          <w:rFonts w:ascii="HelveticaNeue-Thin" w:hAnsi="HelveticaNeue-Thin" w:cs="HelveticaNeue-Thin"/>
          <w:color w:val="010202"/>
          <w:sz w:val="28"/>
          <w:szCs w:val="28"/>
        </w:rPr>
        <w:t>,</w:t>
      </w:r>
      <w:r w:rsidR="004268F1">
        <w:rPr>
          <w:rFonts w:ascii="HelveticaNeue-Thin" w:hAnsi="HelveticaNeue-Thin" w:cs="HelveticaNeue-Thin"/>
          <w:color w:val="010202"/>
          <w:sz w:val="28"/>
          <w:szCs w:val="28"/>
        </w:rPr>
        <w:t xml:space="preserve"> </w:t>
      </w:r>
      <w:r w:rsidR="001835DA">
        <w:rPr>
          <w:rFonts w:ascii="HelveticaNeue-Thin" w:hAnsi="HelveticaNeue-Thin" w:cs="HelveticaNeue-Thin"/>
          <w:color w:val="010202"/>
          <w:sz w:val="28"/>
          <w:szCs w:val="28"/>
        </w:rPr>
        <w:t>18</w:t>
      </w:r>
      <w:r w:rsidR="009934D5">
        <w:rPr>
          <w:rFonts w:ascii="HelveticaNeue-Thin" w:hAnsi="HelveticaNeue-Thin" w:cs="HelveticaNeue-Thin"/>
          <w:color w:val="010202"/>
          <w:sz w:val="28"/>
          <w:szCs w:val="28"/>
        </w:rPr>
        <w:t xml:space="preserve"> to </w:t>
      </w:r>
      <w:r w:rsidR="001835DA">
        <w:rPr>
          <w:rFonts w:ascii="HelveticaNeue-Thin" w:hAnsi="HelveticaNeue-Thin" w:cs="HelveticaNeue-Thin"/>
          <w:color w:val="010202"/>
          <w:sz w:val="28"/>
          <w:szCs w:val="28"/>
        </w:rPr>
        <w:t>22</w:t>
      </w:r>
      <w:r w:rsidR="009934D5">
        <w:rPr>
          <w:rFonts w:ascii="HelveticaNeue-Thin" w:hAnsi="HelveticaNeue-Thin" w:cs="HelveticaNeue-Thin"/>
          <w:color w:val="010202"/>
          <w:sz w:val="28"/>
          <w:szCs w:val="28"/>
        </w:rPr>
        <w:t xml:space="preserve"> Novem</w:t>
      </w:r>
      <w:r w:rsidR="003075EE">
        <w:rPr>
          <w:rFonts w:ascii="HelveticaNeue-Thin" w:hAnsi="HelveticaNeue-Thin" w:cs="HelveticaNeue-Thin"/>
          <w:color w:val="010202"/>
          <w:sz w:val="28"/>
          <w:szCs w:val="28"/>
        </w:rPr>
        <w:t>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1835DA">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0FB2BA2D"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E73ED8">
              <w:rPr>
                <w:b/>
              </w:rPr>
              <w:t>4.</w:t>
            </w:r>
            <w:r w:rsidR="0026071E">
              <w:rPr>
                <w:b/>
              </w:rPr>
              <w:t>1</w:t>
            </w:r>
            <w:r w:rsidR="00E73ED8">
              <w:rPr>
                <w:b/>
              </w:rPr>
              <w:t>.</w:t>
            </w:r>
            <w:r w:rsidR="00EF2E9F">
              <w:rPr>
                <w:b/>
              </w:rPr>
              <w:t>2</w:t>
            </w:r>
          </w:p>
        </w:tc>
        <w:tc>
          <w:tcPr>
            <w:tcW w:w="13467" w:type="dxa"/>
          </w:tcPr>
          <w:p w14:paraId="0A55E0BC" w14:textId="298EC04C" w:rsidR="00075FF4" w:rsidRPr="0026071E" w:rsidRDefault="002759DC" w:rsidP="00A56424">
            <w:pPr>
              <w:autoSpaceDE w:val="0"/>
              <w:autoSpaceDN w:val="0"/>
              <w:adjustRightInd w:val="0"/>
              <w:spacing w:after="0" w:line="241" w:lineRule="atLeast"/>
              <w:rPr>
                <w:rFonts w:cs="Calibri"/>
                <w:color w:val="221E1F"/>
              </w:rPr>
            </w:pPr>
            <w:r w:rsidRPr="002759DC">
              <w:rPr>
                <w:rFonts w:cs="Calibri"/>
                <w:b/>
                <w:bCs/>
                <w:color w:val="221E1F"/>
              </w:rPr>
              <w:t>Continuity of staff</w:t>
            </w:r>
            <w:r w:rsidR="006071EE" w:rsidRPr="006071EE">
              <w:rPr>
                <w:rFonts w:cs="Calibri"/>
                <w:b/>
                <w:bCs/>
                <w:color w:val="221E1F"/>
              </w:rPr>
              <w:br/>
            </w:r>
            <w:r w:rsidR="004D3D47" w:rsidRPr="004D3D47">
              <w:rPr>
                <w:rFonts w:cs="Calibri"/>
                <w:color w:val="221E1F"/>
              </w:rPr>
              <w:t>Every effort is made for children to experience continuity of educators at the service.</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40E1C4FB" w14:textId="7CB4B7C4" w:rsidR="001835DA" w:rsidRPr="001835DA" w:rsidRDefault="00AB2C41" w:rsidP="001835DA">
            <w:pPr>
              <w:spacing w:after="0"/>
            </w:pPr>
            <w:r w:rsidRPr="00D606FF">
              <w:rPr>
                <w:b/>
                <w:bCs/>
                <w:lang w:val="en-US"/>
              </w:rPr>
              <w:t>MEETING</w:t>
            </w:r>
            <w:r w:rsidR="000C1591">
              <w:rPr>
                <w:b/>
                <w:bCs/>
                <w:lang w:val="en-US"/>
              </w:rPr>
              <w:t xml:space="preserve"> - </w:t>
            </w:r>
            <w:r w:rsidR="001835DA" w:rsidRPr="001835DA">
              <w:rPr>
                <w:b/>
                <w:bCs/>
              </w:rPr>
              <w:t>Examples of service practices supporting continuity of educators</w:t>
            </w:r>
            <w:r w:rsidR="001835DA" w:rsidRPr="001835DA">
              <w:t>: Service practices ensuring educator continuity include recognition awards to celebrate achievements and foster loyalty. Rostering considers educator preferences and strengths, promoting job satisfaction and retention. Flexible work practices support work-life balance, reducing turnover. Tailored professional development keeps staff motivated and skilled. Effective teamwork and underperformance management help maintain morale. Mentoring programs guide staff, building their commitment and professional growth.</w:t>
            </w:r>
          </w:p>
          <w:p w14:paraId="304EB3B7" w14:textId="5D7AE532" w:rsidR="001835DA" w:rsidRPr="001835DA" w:rsidRDefault="001835DA" w:rsidP="001835DA">
            <w:pPr>
              <w:spacing w:after="0"/>
            </w:pPr>
            <w:r w:rsidRPr="001835DA">
              <w:rPr>
                <w:b/>
                <w:bCs/>
              </w:rPr>
              <w:t>Supporting relief educators for a regular pool</w:t>
            </w:r>
            <w:r w:rsidRPr="001835DA">
              <w:t>: To maintain a reliable pool of relief educators, we have an effective induction process that familiarises them with service policies and routines, ensuring they feel welcomed and informed. We value relief staff as essential team members, including them in all relevant communications. Their introduction to families and children is prioritised, fostering comfort and familiarity. Participation in staff events promotes team bonding, making them feel part of our supportive community.</w:t>
            </w:r>
          </w:p>
          <w:p w14:paraId="565147D9" w14:textId="7E15E741" w:rsidR="001835DA" w:rsidRPr="001835DA" w:rsidRDefault="001835DA" w:rsidP="001835DA">
            <w:pPr>
              <w:spacing w:after="0"/>
            </w:pPr>
            <w:r w:rsidRPr="001835DA">
              <w:rPr>
                <w:b/>
                <w:bCs/>
              </w:rPr>
              <w:t>Example of children interacting with educators</w:t>
            </w:r>
            <w:r w:rsidRPr="001835DA">
              <w:t>: Continuity of educators creates a nurturing environment where children confidently interact. For example, a child who has known their educator for a long time may approach them to share stories about their weekend, expressing excitement and trust. Children may also return to their trusted educator for reassurance after exploring, indicating a secure bond. These prolonged, comfortable interactions reflect the strong connections formed, showcasing the educator’s positive impact on the child’s emotional wellbeing.</w:t>
            </w:r>
          </w:p>
          <w:p w14:paraId="0D8F4F9F" w14:textId="073E3DE8" w:rsidR="000C1591" w:rsidRDefault="000C1591">
            <w:pPr>
              <w:shd w:val="clear" w:color="auto" w:fill="FFFFFF"/>
              <w:spacing w:after="0"/>
            </w:pPr>
          </w:p>
          <w:p w14:paraId="1C1B04EE" w14:textId="54FB7C1A" w:rsidR="00AB2C41" w:rsidRPr="00AB2C41" w:rsidRDefault="00AB2C41">
            <w:pPr>
              <w:shd w:val="clear" w:color="auto" w:fill="FFFFFF"/>
              <w:spacing w:after="0" w:line="240" w:lineRule="auto"/>
              <w:rPr>
                <w:b/>
                <w:bCs/>
              </w:rPr>
            </w:pPr>
            <w:r w:rsidRPr="00AB2C41">
              <w:rPr>
                <w:b/>
                <w:bCs/>
              </w:rPr>
              <w:t>EXCEEDING</w:t>
            </w:r>
          </w:p>
          <w:p w14:paraId="0D5D4F27" w14:textId="770000CB" w:rsidR="008733AF" w:rsidRDefault="00AB2C41" w:rsidP="006D09DB">
            <w:pPr>
              <w:spacing w:after="0"/>
            </w:pPr>
            <w:r w:rsidRPr="00AB2C41">
              <w:rPr>
                <w:b/>
                <w:bCs/>
              </w:rPr>
              <w:t>Embedded practice -</w:t>
            </w:r>
            <w:r>
              <w:t xml:space="preserve"> </w:t>
            </w:r>
            <w:r w:rsidR="00EF1CD3" w:rsidRPr="00EF1CD3">
              <w:rPr>
                <w:b/>
                <w:bCs/>
              </w:rPr>
              <w:t>How continuity of educators enhances children’s wellbeing, learning, and development</w:t>
            </w:r>
            <w:r w:rsidR="00EF1CD3" w:rsidRPr="00EF1CD3">
              <w:t xml:space="preserve">: Continuity of educators supports children’s wellbeing by fostering trust and security, essential for emotional development. With consistent educators, children develop stronger attachments, which enhance confidence and encourage active participation in learning. Consistent staff also better understand each child’s unique strengths, needs, and interests, tailoring learning experiences to maximise growth. This continuity aligns with </w:t>
            </w:r>
            <w:proofErr w:type="spellStart"/>
            <w:r w:rsidR="00EF1CD3" w:rsidRPr="00EF1CD3">
              <w:t>EYLF</w:t>
            </w:r>
            <w:proofErr w:type="spellEnd"/>
            <w:r w:rsidR="00EF1CD3" w:rsidRPr="00EF1CD3">
              <w:t>/</w:t>
            </w:r>
            <w:proofErr w:type="spellStart"/>
            <w:r w:rsidR="00EF1CD3" w:rsidRPr="00EF1CD3">
              <w:t>MTOP</w:t>
            </w:r>
            <w:proofErr w:type="spellEnd"/>
            <w:r w:rsidR="00EF1CD3" w:rsidRPr="00EF1CD3">
              <w:t xml:space="preserve"> outcomes by nurturing meaningful relationships that underpin effective learning.</w:t>
            </w:r>
          </w:p>
          <w:p w14:paraId="57159232" w14:textId="4FB25100" w:rsidR="00A87C83" w:rsidRPr="00E27C17" w:rsidRDefault="00A87C83">
            <w:pPr>
              <w:shd w:val="clear" w:color="auto" w:fill="FFFFFF"/>
              <w:spacing w:after="0"/>
            </w:pPr>
          </w:p>
          <w:p w14:paraId="5FA01D7D" w14:textId="5B5462E7" w:rsidR="00E85CD3" w:rsidRPr="00E27C17" w:rsidRDefault="00AB2C41">
            <w:pPr>
              <w:shd w:val="clear" w:color="auto" w:fill="FFFFFF"/>
              <w:spacing w:after="0"/>
            </w:pPr>
            <w:r w:rsidRPr="00D606FF">
              <w:rPr>
                <w:b/>
                <w:bCs/>
                <w:iCs/>
              </w:rPr>
              <w:t>Critical Reflection -</w:t>
            </w:r>
            <w:r>
              <w:rPr>
                <w:i/>
              </w:rPr>
              <w:t xml:space="preserve"> </w:t>
            </w:r>
            <w:r w:rsidR="00555833" w:rsidRPr="00555833">
              <w:rPr>
                <w:b/>
                <w:bCs/>
              </w:rPr>
              <w:t>Example of team reflection on continuity improvement</w:t>
            </w:r>
            <w:r w:rsidR="00555833" w:rsidRPr="00555833">
              <w:t xml:space="preserve">: A team reflection on continuity highlighted past challenges where high turnover disrupted relationships and impacted learning. For example, in a meeting discussing </w:t>
            </w:r>
            <w:proofErr w:type="spellStart"/>
            <w:r w:rsidR="00555833" w:rsidRPr="00555833">
              <w:t>Q1</w:t>
            </w:r>
            <w:proofErr w:type="spellEnd"/>
            <w:r w:rsidR="00555833" w:rsidRPr="00555833">
              <w:t xml:space="preserve"> observations, the team noted how children showed signs of distress during transitions with unfamiliar educators. This prompted changes, such as rostering adjustments and prioritising professional development to retain staff, ensuring more consistent educator-child interactions and improved relationship-building practices.</w:t>
            </w:r>
          </w:p>
          <w:p w14:paraId="01C323C2" w14:textId="77777777" w:rsidR="006D09DB" w:rsidRDefault="006D09DB" w:rsidP="0026071E">
            <w:pPr>
              <w:shd w:val="clear" w:color="auto" w:fill="FFFFFF"/>
              <w:rPr>
                <w:b/>
                <w:bCs/>
                <w:iCs/>
              </w:rPr>
            </w:pPr>
          </w:p>
          <w:p w14:paraId="58F0434F" w14:textId="32F779D4" w:rsidR="0026071E" w:rsidRDefault="00AB2C41" w:rsidP="0026071E">
            <w:pPr>
              <w:shd w:val="clear" w:color="auto" w:fill="FFFFFF"/>
              <w:rPr>
                <w:b/>
                <w:bCs/>
                <w:iCs/>
              </w:rPr>
            </w:pPr>
            <w:r w:rsidRPr="00D606FF">
              <w:rPr>
                <w:b/>
                <w:bCs/>
                <w:iCs/>
              </w:rPr>
              <w:t xml:space="preserve">Families and community </w:t>
            </w:r>
            <w:r w:rsidR="00707D4C">
              <w:rPr>
                <w:b/>
                <w:bCs/>
                <w:iCs/>
              </w:rPr>
              <w:t>–</w:t>
            </w:r>
            <w:r w:rsidR="0011160F">
              <w:rPr>
                <w:b/>
                <w:bCs/>
                <w:iCs/>
              </w:rPr>
              <w:t xml:space="preserve"> </w:t>
            </w:r>
            <w:r w:rsidR="00555833" w:rsidRPr="00555833">
              <w:rPr>
                <w:b/>
                <w:bCs/>
              </w:rPr>
              <w:t>Example of seeking and using family input</w:t>
            </w:r>
            <w:r w:rsidR="00555833" w:rsidRPr="00555833">
              <w:t xml:space="preserve">: Family input is gathered through surveys, meetings, and regular conversations to support secure educator-child relationships. For instance, parents are encouraged to share details about their child’s behaviours, </w:t>
            </w:r>
            <w:r w:rsidR="00555833" w:rsidRPr="00555833">
              <w:lastRenderedPageBreak/>
              <w:t>needs, and home routines. This information helps educators adapt strategies that resonate with the child’s experiences, such as incorporating their favourite activities into daily programs. This practice strengthens trust, making children feel understood and promoting continuity as families witness the positive impact.</w:t>
            </w:r>
          </w:p>
          <w:p w14:paraId="74714799" w14:textId="51482CEC" w:rsidR="00E57A01" w:rsidRPr="00D606FF" w:rsidRDefault="00D606FF" w:rsidP="0026071E">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A56424" w:rsidRPr="005025C5" w14:paraId="71245204" w14:textId="77777777" w:rsidTr="001C210D">
        <w:trPr>
          <w:trHeight w:val="572"/>
        </w:trPr>
        <w:tc>
          <w:tcPr>
            <w:tcW w:w="1917" w:type="dxa"/>
            <w:shd w:val="clear" w:color="auto" w:fill="DAEEF3"/>
          </w:tcPr>
          <w:p w14:paraId="2AB39F68" w14:textId="52BAE311" w:rsidR="00A56424" w:rsidRPr="000160DF" w:rsidRDefault="00A56424" w:rsidP="00A56424">
            <w:pPr>
              <w:pStyle w:val="NoSpacing"/>
              <w:rPr>
                <w:b/>
              </w:rPr>
            </w:pPr>
            <w:r>
              <w:rPr>
                <w:b/>
              </w:rPr>
              <w:t>Element 4.1.2</w:t>
            </w:r>
          </w:p>
        </w:tc>
        <w:tc>
          <w:tcPr>
            <w:tcW w:w="13393" w:type="dxa"/>
            <w:shd w:val="clear" w:color="auto" w:fill="FFFFFF"/>
          </w:tcPr>
          <w:p w14:paraId="47F7311F" w14:textId="06BD55DE" w:rsidR="00A56424" w:rsidRPr="00D67E81" w:rsidRDefault="00A56424" w:rsidP="00A56424">
            <w:pPr>
              <w:spacing w:after="0" w:line="240" w:lineRule="auto"/>
            </w:pPr>
            <w:r w:rsidRPr="002759DC">
              <w:rPr>
                <w:rFonts w:cs="Calibri"/>
                <w:b/>
                <w:bCs/>
                <w:color w:val="221E1F"/>
              </w:rPr>
              <w:t>Continuity of staff</w:t>
            </w:r>
            <w:r w:rsidRPr="006071EE">
              <w:rPr>
                <w:rFonts w:cs="Calibri"/>
                <w:b/>
                <w:bCs/>
                <w:color w:val="221E1F"/>
              </w:rPr>
              <w:br/>
            </w:r>
            <w:r w:rsidRPr="004D3D47">
              <w:rPr>
                <w:rFonts w:cs="Calibri"/>
                <w:color w:val="221E1F"/>
              </w:rPr>
              <w:t>Every effort is made for children to experience continuity of educators at the service.</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0F91D8C7" w:rsidR="00075FF4" w:rsidRPr="0026071E" w:rsidRDefault="00194513" w:rsidP="00075FF4">
            <w:pPr>
              <w:pStyle w:val="NormalWeb"/>
              <w:spacing w:before="0" w:beforeAutospacing="0" w:after="0" w:afterAutospacing="0"/>
              <w:rPr>
                <w:sz w:val="22"/>
                <w:szCs w:val="22"/>
                <w:lang w:eastAsia="en-AU"/>
              </w:rPr>
            </w:pPr>
            <w:r w:rsidRPr="0026071E">
              <w:rPr>
                <w:rFonts w:ascii="Calibri" w:hAnsi="Calibri" w:cs="Calibri"/>
                <w:color w:val="000000"/>
                <w:sz w:val="18"/>
                <w:szCs w:val="18"/>
              </w:rPr>
              <w:t>4.</w:t>
            </w:r>
            <w:r w:rsidR="0026071E" w:rsidRPr="0026071E">
              <w:rPr>
                <w:rFonts w:ascii="Calibri" w:hAnsi="Calibri" w:cs="Calibri"/>
                <w:color w:val="000000"/>
                <w:sz w:val="18"/>
                <w:szCs w:val="18"/>
              </w:rPr>
              <w:t>1.</w:t>
            </w:r>
            <w:r w:rsidR="004D3D47">
              <w:rPr>
                <w:rFonts w:ascii="Calibri" w:hAnsi="Calibri" w:cs="Calibri"/>
                <w:color w:val="000000"/>
                <w:sz w:val="18"/>
                <w:szCs w:val="18"/>
              </w:rPr>
              <w:t>2</w:t>
            </w:r>
          </w:p>
          <w:p w14:paraId="0717B254" w14:textId="3B61D46C" w:rsidR="00075FF4" w:rsidRPr="0026071E" w:rsidRDefault="00075FF4" w:rsidP="00075FF4">
            <w:pPr>
              <w:pStyle w:val="NormalWeb"/>
              <w:spacing w:before="0" w:beforeAutospacing="0" w:after="0" w:afterAutospacing="0"/>
              <w:rPr>
                <w:sz w:val="22"/>
                <w:szCs w:val="22"/>
              </w:rPr>
            </w:pPr>
            <w:r w:rsidRPr="0026071E">
              <w:rPr>
                <w:rFonts w:ascii="Calibri" w:hAnsi="Calibri" w:cs="Calibri"/>
                <w:color w:val="000000"/>
                <w:sz w:val="18"/>
                <w:szCs w:val="18"/>
              </w:rPr>
              <w:t>Week</w:t>
            </w:r>
            <w:r w:rsidR="00333320" w:rsidRPr="0026071E">
              <w:rPr>
                <w:rFonts w:ascii="Calibri" w:hAnsi="Calibri" w:cs="Calibri"/>
                <w:color w:val="000000"/>
                <w:sz w:val="18"/>
                <w:szCs w:val="18"/>
              </w:rPr>
              <w:t xml:space="preserve"> </w:t>
            </w:r>
            <w:r w:rsidR="006C6894" w:rsidRPr="0026071E">
              <w:rPr>
                <w:rFonts w:ascii="Calibri" w:hAnsi="Calibri" w:cs="Calibri"/>
                <w:color w:val="000000"/>
                <w:sz w:val="18"/>
                <w:szCs w:val="18"/>
              </w:rPr>
              <w:t>3</w:t>
            </w:r>
            <w:r w:rsidR="008162E4">
              <w:rPr>
                <w:rFonts w:ascii="Calibri" w:hAnsi="Calibri" w:cs="Calibri"/>
                <w:color w:val="000000"/>
                <w:sz w:val="18"/>
                <w:szCs w:val="18"/>
              </w:rPr>
              <w:t>7</w:t>
            </w:r>
          </w:p>
          <w:p w14:paraId="3320FC3C" w14:textId="4BA62D08" w:rsidR="00075FF4" w:rsidRPr="00740FED" w:rsidRDefault="00075FF4" w:rsidP="00075FF4">
            <w:pPr>
              <w:pStyle w:val="NoSpacing"/>
              <w:rPr>
                <w:sz w:val="18"/>
                <w:szCs w:val="18"/>
              </w:rPr>
            </w:pPr>
          </w:p>
        </w:tc>
        <w:tc>
          <w:tcPr>
            <w:tcW w:w="1403" w:type="dxa"/>
          </w:tcPr>
          <w:p w14:paraId="13795AB9" w14:textId="21565977" w:rsidR="00075FF4" w:rsidRPr="0057302A" w:rsidRDefault="002644B4" w:rsidP="00466395">
            <w:pPr>
              <w:spacing w:after="0" w:line="240" w:lineRule="auto"/>
              <w:rPr>
                <w:rStyle w:val="textexposedshow"/>
                <w:rFonts w:cs="Calibri"/>
                <w:color w:val="1D2129"/>
                <w:sz w:val="20"/>
                <w:szCs w:val="20"/>
              </w:rPr>
            </w:pPr>
            <w:r w:rsidRPr="002644B4">
              <w:rPr>
                <w:rStyle w:val="textexposedshow"/>
                <w:rFonts w:cs="Calibri"/>
                <w:color w:val="1D2129"/>
                <w:sz w:val="20"/>
                <w:szCs w:val="20"/>
              </w:rPr>
              <w:t>High staff turnover affecting children's stability and learning</w:t>
            </w:r>
          </w:p>
        </w:tc>
        <w:tc>
          <w:tcPr>
            <w:tcW w:w="2268" w:type="dxa"/>
          </w:tcPr>
          <w:p w14:paraId="319A2547" w14:textId="430EABA4" w:rsidR="00A93BCD" w:rsidRPr="00A93BCD" w:rsidRDefault="00950A4B" w:rsidP="00154B17">
            <w:pPr>
              <w:rPr>
                <w:rFonts w:cs="Calibri"/>
                <w:sz w:val="20"/>
                <w:szCs w:val="20"/>
              </w:rPr>
            </w:pPr>
            <w:r w:rsidRPr="00950A4B">
              <w:rPr>
                <w:rFonts w:cs="Calibri"/>
                <w:sz w:val="20"/>
                <w:szCs w:val="20"/>
              </w:rPr>
              <w:t>To achieve a stable team of educators, enhancing children's sense of security and learning continuity</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52DFA943" w:rsidR="00075FF4" w:rsidRPr="00154B17" w:rsidRDefault="00950A4B" w:rsidP="008F7DE3">
            <w:pPr>
              <w:pStyle w:val="NormalWeb"/>
              <w:spacing w:before="0" w:beforeAutospacing="0" w:after="0"/>
              <w:rPr>
                <w:rStyle w:val="textexposedshow"/>
                <w:rFonts w:ascii="Calibri" w:hAnsi="Calibri" w:cs="Calibri"/>
                <w:color w:val="1D2129"/>
                <w:sz w:val="20"/>
                <w:szCs w:val="20"/>
              </w:rPr>
            </w:pPr>
            <w:r w:rsidRPr="00950A4B">
              <w:rPr>
                <w:rStyle w:val="textexposedshow"/>
                <w:rFonts w:ascii="Calibri" w:hAnsi="Calibri" w:cs="Calibri"/>
                <w:color w:val="1D2129"/>
                <w:sz w:val="20"/>
                <w:szCs w:val="20"/>
              </w:rPr>
              <w:t xml:space="preserve">Review and improve compensation and benefits. </w:t>
            </w:r>
            <w:r>
              <w:rPr>
                <w:rStyle w:val="textexposedshow"/>
                <w:rFonts w:ascii="Calibri" w:hAnsi="Calibri" w:cs="Calibri"/>
                <w:color w:val="1D2129"/>
                <w:sz w:val="20"/>
                <w:szCs w:val="20"/>
              </w:rPr>
              <w:br/>
            </w:r>
            <w:r w:rsidRPr="00950A4B">
              <w:rPr>
                <w:rStyle w:val="textexposedshow"/>
                <w:rFonts w:ascii="Calibri" w:hAnsi="Calibri" w:cs="Calibri"/>
                <w:color w:val="1D2129"/>
                <w:sz w:val="20"/>
                <w:szCs w:val="20"/>
              </w:rPr>
              <w:t xml:space="preserve">2. Develop a robust professional development program. </w:t>
            </w:r>
            <w:r>
              <w:rPr>
                <w:rStyle w:val="textexposedshow"/>
                <w:rFonts w:ascii="Calibri" w:hAnsi="Calibri" w:cs="Calibri"/>
                <w:color w:val="1D2129"/>
                <w:sz w:val="20"/>
                <w:szCs w:val="20"/>
              </w:rPr>
              <w:br/>
            </w:r>
            <w:r w:rsidRPr="00950A4B">
              <w:rPr>
                <w:rStyle w:val="textexposedshow"/>
                <w:rFonts w:ascii="Calibri" w:hAnsi="Calibri" w:cs="Calibri"/>
                <w:color w:val="1D2129"/>
                <w:sz w:val="20"/>
                <w:szCs w:val="20"/>
              </w:rPr>
              <w:t>3. Implement a mentorship system for new staff.</w:t>
            </w:r>
            <w:r>
              <w:rPr>
                <w:rStyle w:val="textexposedshow"/>
                <w:rFonts w:ascii="Calibri" w:hAnsi="Calibri" w:cs="Calibri"/>
                <w:color w:val="1D2129"/>
                <w:sz w:val="20"/>
                <w:szCs w:val="20"/>
              </w:rPr>
              <w:br/>
            </w:r>
            <w:r w:rsidRPr="00950A4B">
              <w:rPr>
                <w:rStyle w:val="textexposedshow"/>
                <w:rFonts w:ascii="Calibri" w:hAnsi="Calibri" w:cs="Calibri"/>
                <w:color w:val="1D2129"/>
                <w:sz w:val="20"/>
                <w:szCs w:val="20"/>
              </w:rPr>
              <w:t>4. Regular staff well-being checks and support systems.</w:t>
            </w:r>
          </w:p>
        </w:tc>
        <w:tc>
          <w:tcPr>
            <w:tcW w:w="3402" w:type="dxa"/>
          </w:tcPr>
          <w:p w14:paraId="297E2E9A" w14:textId="4EFE206D" w:rsidR="00075FF4" w:rsidRPr="00105653" w:rsidRDefault="00950A4B" w:rsidP="0057036B">
            <w:r w:rsidRPr="00950A4B">
              <w:t>Reduced staff turnover rate. Positive feedback from children and parents. Improved staff satisfaction surveys.</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2CB4810F" w14:textId="77777777" w:rsidR="008162E4" w:rsidRPr="0026071E" w:rsidRDefault="008162E4" w:rsidP="008162E4">
            <w:pPr>
              <w:pStyle w:val="NormalWeb"/>
              <w:spacing w:before="0" w:beforeAutospacing="0" w:after="0" w:afterAutospacing="0"/>
              <w:rPr>
                <w:sz w:val="22"/>
                <w:szCs w:val="22"/>
                <w:lang w:eastAsia="en-AU"/>
              </w:rPr>
            </w:pPr>
            <w:r w:rsidRPr="0026071E">
              <w:rPr>
                <w:rFonts w:ascii="Calibri" w:hAnsi="Calibri" w:cs="Calibri"/>
                <w:color w:val="000000"/>
                <w:sz w:val="18"/>
                <w:szCs w:val="18"/>
              </w:rPr>
              <w:t>4.1.</w:t>
            </w:r>
            <w:r>
              <w:rPr>
                <w:rFonts w:ascii="Calibri" w:hAnsi="Calibri" w:cs="Calibri"/>
                <w:color w:val="000000"/>
                <w:sz w:val="18"/>
                <w:szCs w:val="18"/>
              </w:rPr>
              <w:t>2</w:t>
            </w:r>
          </w:p>
          <w:p w14:paraId="23C7F16C" w14:textId="77777777" w:rsidR="008162E4" w:rsidRPr="0026071E" w:rsidRDefault="008162E4" w:rsidP="008162E4">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7</w:t>
            </w:r>
          </w:p>
          <w:p w14:paraId="5D0BA762" w14:textId="411A69DE" w:rsidR="00075FF4" w:rsidRDefault="006071EE" w:rsidP="008162E4">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6119ED52" w:rsidR="00075FF4" w:rsidRPr="00213962" w:rsidRDefault="00505EAB" w:rsidP="00075FF4">
            <w:pPr>
              <w:spacing w:after="240"/>
              <w:rPr>
                <w:rStyle w:val="textexposedshow"/>
                <w:rFonts w:cs="Calibri"/>
                <w:color w:val="1D2129"/>
                <w:sz w:val="21"/>
                <w:szCs w:val="21"/>
              </w:rPr>
            </w:pPr>
            <w:r w:rsidRPr="00505EAB">
              <w:rPr>
                <w:rStyle w:val="textexposedshow"/>
                <w:rFonts w:cs="Calibri"/>
                <w:color w:val="1D2129"/>
                <w:sz w:val="21"/>
                <w:szCs w:val="21"/>
              </w:rPr>
              <w:t>Lack of continuity of educators impacting children's wellbeing, learning, and development</w:t>
            </w:r>
          </w:p>
        </w:tc>
        <w:tc>
          <w:tcPr>
            <w:tcW w:w="2268" w:type="dxa"/>
          </w:tcPr>
          <w:p w14:paraId="5B8B847E" w14:textId="00B3BC20" w:rsidR="00075FF4" w:rsidRPr="00213962" w:rsidRDefault="000407CF" w:rsidP="00075FF4">
            <w:pPr>
              <w:spacing w:after="240"/>
              <w:rPr>
                <w:rStyle w:val="textexposedshow"/>
                <w:rFonts w:cs="Calibri"/>
                <w:iCs/>
                <w:color w:val="1D2129"/>
                <w:sz w:val="20"/>
                <w:szCs w:val="20"/>
              </w:rPr>
            </w:pPr>
            <w:r w:rsidRPr="000407CF">
              <w:rPr>
                <w:rStyle w:val="textexposedshow"/>
                <w:rFonts w:cs="Calibri"/>
                <w:iCs/>
                <w:color w:val="1D2129"/>
                <w:sz w:val="20"/>
                <w:szCs w:val="20"/>
              </w:rPr>
              <w:t>Ensure consistent educator presence to enhance children's wellbeing, learning, and development</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E8664EA" w14:textId="29CF750B" w:rsidR="009B4161" w:rsidRPr="00D04580" w:rsidRDefault="000407CF" w:rsidP="00022373">
            <w:pPr>
              <w:spacing w:after="0"/>
              <w:rPr>
                <w:rStyle w:val="textexposedshow"/>
                <w:rFonts w:cs="Calibri"/>
                <w:color w:val="1D2129"/>
                <w:sz w:val="20"/>
                <w:szCs w:val="20"/>
              </w:rPr>
            </w:pPr>
            <w:r w:rsidRPr="000407CF">
              <w:rPr>
                <w:rStyle w:val="textexposedshow"/>
                <w:rFonts w:cs="Calibri"/>
                <w:color w:val="1D2129"/>
                <w:sz w:val="20"/>
                <w:szCs w:val="20"/>
              </w:rPr>
              <w:t xml:space="preserve">1. Implement stable scheduling to reduce educator rotation.  2. Create a mentorship and support program for educators.  3. Offer competitive benefits and professional development to retain staff.  4. Regular feedback </w:t>
            </w:r>
            <w:r w:rsidRPr="000407CF">
              <w:rPr>
                <w:rStyle w:val="textexposedshow"/>
                <w:rFonts w:cs="Calibri"/>
                <w:color w:val="1D2129"/>
                <w:sz w:val="20"/>
                <w:szCs w:val="20"/>
              </w:rPr>
              <w:lastRenderedPageBreak/>
              <w:t>sessions with educators and families to assess needs and satisfaction.</w:t>
            </w:r>
          </w:p>
        </w:tc>
        <w:tc>
          <w:tcPr>
            <w:tcW w:w="3402" w:type="dxa"/>
          </w:tcPr>
          <w:p w14:paraId="096F8BE8" w14:textId="77777777" w:rsidR="00F40209" w:rsidRDefault="00F40209" w:rsidP="00F40209">
            <w:pPr>
              <w:rPr>
                <w:i/>
              </w:rPr>
            </w:pPr>
            <w:r>
              <w:rPr>
                <w:i/>
              </w:rPr>
              <w:lastRenderedPageBreak/>
              <w:t xml:space="preserve">Continuity of educators enhances children’s wellbeing, learning, and development. We aim to ensure this. </w:t>
            </w:r>
          </w:p>
          <w:p w14:paraId="25689F2E" w14:textId="52F915BC" w:rsidR="00F40209" w:rsidRDefault="00F40209" w:rsidP="00F40209">
            <w:pPr>
              <w:numPr>
                <w:ilvl w:val="0"/>
                <w:numId w:val="44"/>
              </w:numPr>
              <w:pBdr>
                <w:top w:val="nil"/>
                <w:left w:val="nil"/>
                <w:bottom w:val="nil"/>
                <w:right w:val="nil"/>
                <w:between w:val="nil"/>
              </w:pBdr>
              <w:spacing w:after="0" w:line="259" w:lineRule="auto"/>
              <w:rPr>
                <w:color w:val="000000"/>
              </w:rPr>
            </w:pPr>
            <w:r>
              <w:rPr>
                <w:color w:val="FF0000"/>
              </w:rPr>
              <w:t xml:space="preserve">We base </w:t>
            </w:r>
            <w:proofErr w:type="spellStart"/>
            <w:r>
              <w:rPr>
                <w:color w:val="FF0000"/>
              </w:rPr>
              <w:t>EYLF</w:t>
            </w:r>
            <w:proofErr w:type="spellEnd"/>
            <w:r>
              <w:rPr>
                <w:color w:val="FF0000"/>
              </w:rPr>
              <w:t>/</w:t>
            </w:r>
            <w:proofErr w:type="spellStart"/>
            <w:r>
              <w:rPr>
                <w:color w:val="FF0000"/>
              </w:rPr>
              <w:t>MTOP</w:t>
            </w:r>
            <w:proofErr w:type="spellEnd"/>
            <w:r>
              <w:rPr>
                <w:color w:val="FF0000"/>
              </w:rPr>
              <w:t xml:space="preserve"> learning outcomes on the relationships children have with their family, educators, friends, and community members. A high turnover of educators affects the relationships children are able to develop with them, </w:t>
            </w:r>
            <w:r>
              <w:rPr>
                <w:color w:val="FF0000"/>
              </w:rPr>
              <w:lastRenderedPageBreak/>
              <w:t>which in turn leads to lower quality learning outcomes.</w:t>
            </w:r>
          </w:p>
          <w:p w14:paraId="7A76C3FA" w14:textId="7708BDDC" w:rsidR="004662DA" w:rsidRPr="00F40209" w:rsidRDefault="00F40209" w:rsidP="00F40209">
            <w:pPr>
              <w:numPr>
                <w:ilvl w:val="0"/>
                <w:numId w:val="44"/>
              </w:numPr>
              <w:pBdr>
                <w:top w:val="nil"/>
                <w:left w:val="nil"/>
                <w:bottom w:val="nil"/>
                <w:right w:val="nil"/>
                <w:between w:val="nil"/>
              </w:pBdr>
              <w:spacing w:after="0" w:line="259" w:lineRule="auto"/>
              <w:rPr>
                <w:color w:val="000000"/>
              </w:rPr>
            </w:pPr>
            <w:r w:rsidRPr="00F40209">
              <w:rPr>
                <w:color w:val="FF0000"/>
              </w:rPr>
              <w:t>We appreciate continuity enhances opportunities to understand each child’s strengths, needs, interests, and family situation.</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1028EC30" w14:textId="77777777" w:rsidR="008162E4" w:rsidRPr="0026071E" w:rsidRDefault="008162E4" w:rsidP="008162E4">
            <w:pPr>
              <w:pStyle w:val="NormalWeb"/>
              <w:spacing w:before="0" w:beforeAutospacing="0" w:after="0" w:afterAutospacing="0"/>
              <w:rPr>
                <w:sz w:val="22"/>
                <w:szCs w:val="22"/>
                <w:lang w:eastAsia="en-AU"/>
              </w:rPr>
            </w:pPr>
            <w:r w:rsidRPr="0026071E">
              <w:rPr>
                <w:rFonts w:ascii="Calibri" w:hAnsi="Calibri" w:cs="Calibri"/>
                <w:color w:val="000000"/>
                <w:sz w:val="18"/>
                <w:szCs w:val="18"/>
              </w:rPr>
              <w:t>4.1.</w:t>
            </w:r>
            <w:r>
              <w:rPr>
                <w:rFonts w:ascii="Calibri" w:hAnsi="Calibri" w:cs="Calibri"/>
                <w:color w:val="000000"/>
                <w:sz w:val="18"/>
                <w:szCs w:val="18"/>
              </w:rPr>
              <w:t>2</w:t>
            </w:r>
          </w:p>
          <w:p w14:paraId="0CF9AB1B" w14:textId="77777777" w:rsidR="008162E4" w:rsidRPr="0026071E" w:rsidRDefault="008162E4" w:rsidP="008162E4">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7</w:t>
            </w:r>
          </w:p>
          <w:p w14:paraId="543E98BC" w14:textId="2D5C3AF2" w:rsidR="00371FE4" w:rsidRDefault="009B4161" w:rsidP="008162E4">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57A5C244" w:rsidR="00371FE4" w:rsidRPr="0057302A" w:rsidRDefault="00B540C9" w:rsidP="00371FE4">
            <w:pPr>
              <w:spacing w:after="0" w:line="240" w:lineRule="auto"/>
              <w:rPr>
                <w:rStyle w:val="textexposedshow"/>
                <w:rFonts w:cs="Calibri"/>
                <w:color w:val="1D2129"/>
                <w:sz w:val="20"/>
                <w:szCs w:val="20"/>
              </w:rPr>
            </w:pPr>
            <w:r w:rsidRPr="00B540C9">
              <w:rPr>
                <w:rStyle w:val="textexposedshow"/>
                <w:rFonts w:cs="Calibri"/>
                <w:color w:val="1D2129"/>
                <w:sz w:val="20"/>
                <w:szCs w:val="20"/>
              </w:rPr>
              <w:t>Insufficient use of team reflections for improving continuity, not adequately addressing past negative outcomes</w:t>
            </w:r>
          </w:p>
        </w:tc>
        <w:tc>
          <w:tcPr>
            <w:tcW w:w="2268" w:type="dxa"/>
          </w:tcPr>
          <w:p w14:paraId="07830F15" w14:textId="1B509A44" w:rsidR="00371FE4" w:rsidRPr="0057302A" w:rsidRDefault="009D76E7" w:rsidP="00371FE4">
            <w:pPr>
              <w:spacing w:after="0" w:line="240" w:lineRule="auto"/>
              <w:rPr>
                <w:rStyle w:val="textexposedshow"/>
                <w:rFonts w:cs="Calibri"/>
                <w:color w:val="1D2129"/>
                <w:sz w:val="20"/>
                <w:szCs w:val="20"/>
              </w:rPr>
            </w:pPr>
            <w:r w:rsidRPr="009D76E7">
              <w:rPr>
                <w:rStyle w:val="textexposedshow"/>
                <w:rFonts w:cs="Calibri"/>
                <w:color w:val="1D2129"/>
                <w:sz w:val="20"/>
                <w:szCs w:val="20"/>
              </w:rPr>
              <w:t>Enhance educator continuity by effectively using team reflections to learn from past experiences and make informed changes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6E62425C" w:rsidR="00371FE4" w:rsidRPr="00D04580" w:rsidRDefault="009D76E7" w:rsidP="002D6F4E">
            <w:pPr>
              <w:spacing w:after="0"/>
              <w:textAlignment w:val="baseline"/>
              <w:rPr>
                <w:rStyle w:val="textexposedshow"/>
                <w:rFonts w:cs="Calibri"/>
                <w:color w:val="1D2129"/>
                <w:sz w:val="20"/>
                <w:szCs w:val="20"/>
              </w:rPr>
            </w:pPr>
            <w:r w:rsidRPr="009D76E7">
              <w:rPr>
                <w:rStyle w:val="textexposedshow"/>
                <w:rFonts w:cs="Calibri"/>
                <w:color w:val="1D2129"/>
                <w:sz w:val="20"/>
                <w:szCs w:val="20"/>
              </w:rPr>
              <w:t xml:space="preserve">1. Conduct regular team reflection sessions focused on continuity issues.  2. </w:t>
            </w:r>
            <w:proofErr w:type="spellStart"/>
            <w:r w:rsidRPr="009D76E7">
              <w:rPr>
                <w:rStyle w:val="textexposedshow"/>
                <w:rFonts w:cs="Calibri"/>
                <w:color w:val="1D2129"/>
                <w:sz w:val="20"/>
                <w:szCs w:val="20"/>
              </w:rPr>
              <w:t>Analyze</w:t>
            </w:r>
            <w:proofErr w:type="spellEnd"/>
            <w:r w:rsidRPr="009D76E7">
              <w:rPr>
                <w:rStyle w:val="textexposedshow"/>
                <w:rFonts w:cs="Calibri"/>
                <w:color w:val="1D2129"/>
                <w:sz w:val="20"/>
                <w:szCs w:val="20"/>
              </w:rPr>
              <w:t xml:space="preserve"> past incidents of poor continuity and their impacts.  3. Develop action plans based on reflections to address identified issues.  4. Implement changes and monitor their effectiveness.  5. Foster a culture of open communication and continuous improvement.</w:t>
            </w:r>
          </w:p>
        </w:tc>
        <w:tc>
          <w:tcPr>
            <w:tcW w:w="3402" w:type="dxa"/>
          </w:tcPr>
          <w:p w14:paraId="7366E390" w14:textId="77777777" w:rsidR="00C210E4" w:rsidRDefault="00C210E4" w:rsidP="00C210E4">
            <w:pPr>
              <w:rPr>
                <w:i/>
              </w:rPr>
            </w:pPr>
            <w:r>
              <w:rPr>
                <w:i/>
              </w:rPr>
              <w:t>Team reflections, including those that consider negative continuity outcomes in the past, improve continuity of educators. For example:</w:t>
            </w:r>
          </w:p>
          <w:p w14:paraId="0BCB0916" w14:textId="77777777" w:rsidR="00E27D94" w:rsidRDefault="00E27D94" w:rsidP="00E27D94">
            <w:pPr>
              <w:numPr>
                <w:ilvl w:val="0"/>
                <w:numId w:val="45"/>
              </w:numPr>
              <w:pBdr>
                <w:top w:val="nil"/>
                <w:left w:val="nil"/>
                <w:bottom w:val="nil"/>
                <w:right w:val="nil"/>
                <w:between w:val="nil"/>
              </w:pBdr>
              <w:spacing w:after="0" w:line="259" w:lineRule="auto"/>
              <w:rPr>
                <w:color w:val="FF0000"/>
              </w:rPr>
            </w:pPr>
            <w:r>
              <w:rPr>
                <w:color w:val="FF0000"/>
              </w:rPr>
              <w:t>recognition awards</w:t>
            </w:r>
          </w:p>
          <w:p w14:paraId="07283E7A" w14:textId="77777777" w:rsidR="00E27D94" w:rsidRDefault="00E27D94" w:rsidP="00E27D94">
            <w:pPr>
              <w:numPr>
                <w:ilvl w:val="0"/>
                <w:numId w:val="45"/>
              </w:numPr>
              <w:pBdr>
                <w:top w:val="nil"/>
                <w:left w:val="nil"/>
                <w:bottom w:val="nil"/>
                <w:right w:val="nil"/>
                <w:between w:val="nil"/>
              </w:pBdr>
              <w:spacing w:after="0" w:line="259" w:lineRule="auto"/>
              <w:rPr>
                <w:color w:val="FF0000"/>
              </w:rPr>
            </w:pPr>
            <w:r>
              <w:rPr>
                <w:color w:val="FF0000"/>
              </w:rPr>
              <w:t>rostering/room allocations based on educator preferences and strengths</w:t>
            </w:r>
          </w:p>
          <w:p w14:paraId="2DF18B9D" w14:textId="77777777" w:rsidR="00E27D94" w:rsidRDefault="00E27D94" w:rsidP="00E27D94">
            <w:pPr>
              <w:numPr>
                <w:ilvl w:val="0"/>
                <w:numId w:val="45"/>
              </w:numPr>
              <w:pBdr>
                <w:top w:val="nil"/>
                <w:left w:val="nil"/>
                <w:bottom w:val="nil"/>
                <w:right w:val="nil"/>
                <w:between w:val="nil"/>
              </w:pBdr>
              <w:spacing w:after="0" w:line="259" w:lineRule="auto"/>
              <w:rPr>
                <w:color w:val="FF0000"/>
              </w:rPr>
            </w:pPr>
            <w:r>
              <w:rPr>
                <w:color w:val="FF0000"/>
              </w:rPr>
              <w:t>flexible work practices</w:t>
            </w:r>
          </w:p>
          <w:p w14:paraId="2685CFD7" w14:textId="77777777" w:rsidR="00E27D94" w:rsidRDefault="00E27D94" w:rsidP="00E27D94">
            <w:pPr>
              <w:numPr>
                <w:ilvl w:val="0"/>
                <w:numId w:val="45"/>
              </w:numPr>
              <w:pBdr>
                <w:top w:val="nil"/>
                <w:left w:val="nil"/>
                <w:bottom w:val="nil"/>
                <w:right w:val="nil"/>
                <w:between w:val="nil"/>
              </w:pBdr>
              <w:spacing w:after="0" w:line="259" w:lineRule="auto"/>
              <w:rPr>
                <w:color w:val="FF0000"/>
              </w:rPr>
            </w:pPr>
            <w:r>
              <w:rPr>
                <w:color w:val="FF0000"/>
              </w:rPr>
              <w:t>professional development based on staff needs and goals</w:t>
            </w:r>
          </w:p>
          <w:p w14:paraId="4C4B6ADC" w14:textId="77777777" w:rsidR="00E27D94" w:rsidRDefault="00E27D94" w:rsidP="00E27D94">
            <w:pPr>
              <w:numPr>
                <w:ilvl w:val="0"/>
                <w:numId w:val="45"/>
              </w:numPr>
              <w:pBdr>
                <w:top w:val="nil"/>
                <w:left w:val="nil"/>
                <w:bottom w:val="nil"/>
                <w:right w:val="nil"/>
                <w:between w:val="nil"/>
              </w:pBdr>
              <w:spacing w:after="0" w:line="259" w:lineRule="auto"/>
              <w:rPr>
                <w:color w:val="FF0000"/>
              </w:rPr>
            </w:pPr>
            <w:r>
              <w:rPr>
                <w:color w:val="FF0000"/>
              </w:rPr>
              <w:t>ensuring teams work effectively, effective management of underperformance</w:t>
            </w:r>
          </w:p>
          <w:p w14:paraId="4282EA4D" w14:textId="150718B4" w:rsidR="00A5063A" w:rsidRPr="00E27D94" w:rsidRDefault="00E27D94" w:rsidP="00E27D94">
            <w:pPr>
              <w:numPr>
                <w:ilvl w:val="0"/>
                <w:numId w:val="45"/>
              </w:numPr>
              <w:pBdr>
                <w:top w:val="nil"/>
                <w:left w:val="nil"/>
                <w:bottom w:val="nil"/>
                <w:right w:val="nil"/>
                <w:between w:val="nil"/>
              </w:pBdr>
              <w:spacing w:after="0" w:line="259" w:lineRule="auto"/>
              <w:rPr>
                <w:color w:val="FF0000"/>
              </w:rPr>
            </w:pPr>
            <w:r w:rsidRPr="00E27D94">
              <w:rPr>
                <w:color w:val="FF0000"/>
              </w:rPr>
              <w:t>effective coaching/mentoring.</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5F0D22BD" w14:textId="77777777" w:rsidR="008162E4" w:rsidRPr="0026071E" w:rsidRDefault="008162E4" w:rsidP="008162E4">
            <w:pPr>
              <w:pStyle w:val="NormalWeb"/>
              <w:spacing w:before="0" w:beforeAutospacing="0" w:after="0" w:afterAutospacing="0"/>
              <w:rPr>
                <w:sz w:val="22"/>
                <w:szCs w:val="22"/>
                <w:lang w:eastAsia="en-AU"/>
              </w:rPr>
            </w:pPr>
            <w:r w:rsidRPr="0026071E">
              <w:rPr>
                <w:rFonts w:ascii="Calibri" w:hAnsi="Calibri" w:cs="Calibri"/>
                <w:color w:val="000000"/>
                <w:sz w:val="18"/>
                <w:szCs w:val="18"/>
              </w:rPr>
              <w:t>4.1.</w:t>
            </w:r>
            <w:r>
              <w:rPr>
                <w:rFonts w:ascii="Calibri" w:hAnsi="Calibri" w:cs="Calibri"/>
                <w:color w:val="000000"/>
                <w:sz w:val="18"/>
                <w:szCs w:val="18"/>
              </w:rPr>
              <w:t>2</w:t>
            </w:r>
          </w:p>
          <w:p w14:paraId="15FA950A" w14:textId="77777777" w:rsidR="008162E4" w:rsidRPr="0026071E" w:rsidRDefault="008162E4" w:rsidP="008162E4">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7</w:t>
            </w:r>
          </w:p>
          <w:p w14:paraId="58F53C8E" w14:textId="464E32D3" w:rsidR="00075FF4" w:rsidRDefault="002E1D13" w:rsidP="008162E4">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49B6958B" w:rsidR="00075FF4" w:rsidRPr="0057302A" w:rsidRDefault="00486188" w:rsidP="00075FF4">
            <w:pPr>
              <w:spacing w:after="0" w:line="240" w:lineRule="auto"/>
              <w:rPr>
                <w:rStyle w:val="textexposedshow"/>
                <w:rFonts w:cs="Calibri"/>
                <w:color w:val="1D2129"/>
                <w:sz w:val="20"/>
                <w:szCs w:val="20"/>
              </w:rPr>
            </w:pPr>
            <w:r w:rsidRPr="00486188">
              <w:rPr>
                <w:rStyle w:val="textexposedshow"/>
                <w:rFonts w:cs="Calibri"/>
                <w:color w:val="1D2129"/>
                <w:sz w:val="20"/>
                <w:szCs w:val="20"/>
              </w:rPr>
              <w:t>Lack of family input in supporting children's relationships with educators and continuity</w:t>
            </w:r>
          </w:p>
        </w:tc>
        <w:tc>
          <w:tcPr>
            <w:tcW w:w="2268" w:type="dxa"/>
          </w:tcPr>
          <w:p w14:paraId="1B8BD92E" w14:textId="1F462024" w:rsidR="00075FF4" w:rsidRPr="0057302A" w:rsidRDefault="009A460D" w:rsidP="00075FF4">
            <w:pPr>
              <w:spacing w:after="0" w:line="240" w:lineRule="auto"/>
              <w:rPr>
                <w:rStyle w:val="textexposedshow"/>
                <w:rFonts w:cs="Calibri"/>
                <w:color w:val="1D2129"/>
                <w:sz w:val="20"/>
                <w:szCs w:val="20"/>
              </w:rPr>
            </w:pPr>
            <w:r w:rsidRPr="009A460D">
              <w:rPr>
                <w:rStyle w:val="textexposedshow"/>
                <w:rFonts w:cs="Calibri"/>
                <w:color w:val="1D2129"/>
                <w:sz w:val="20"/>
                <w:szCs w:val="20"/>
              </w:rPr>
              <w:t>Enhance children’s secure relationships with educators and promote continuity through active family engagement and input</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A45A61D" w14:textId="4B43BA6A" w:rsidR="00075FF4" w:rsidRPr="00D04580" w:rsidRDefault="009A460D" w:rsidP="00FA5DB1">
            <w:pPr>
              <w:spacing w:after="0"/>
              <w:rPr>
                <w:rStyle w:val="textexposedshow"/>
                <w:rFonts w:cs="Calibri"/>
                <w:color w:val="1D2129"/>
                <w:sz w:val="20"/>
                <w:szCs w:val="20"/>
              </w:rPr>
            </w:pPr>
            <w:r w:rsidRPr="009A460D">
              <w:rPr>
                <w:rStyle w:val="textexposedshow"/>
                <w:rFonts w:cs="Calibri"/>
                <w:color w:val="1D2129"/>
                <w:sz w:val="20"/>
                <w:szCs w:val="20"/>
              </w:rPr>
              <w:t xml:space="preserve">1. Implement regular structured feedback mechanisms for families (surveys, meetings).  2. Use family input to understand children's needs and preferences better.  3. </w:t>
            </w:r>
            <w:r w:rsidRPr="009A460D">
              <w:rPr>
                <w:rStyle w:val="textexposedshow"/>
                <w:rFonts w:cs="Calibri"/>
                <w:color w:val="1D2129"/>
                <w:sz w:val="20"/>
                <w:szCs w:val="20"/>
              </w:rPr>
              <w:lastRenderedPageBreak/>
              <w:t>Incorporate family feedback into educator assignment and interaction strategies.  4. Provide regular updates to families on the impact of their input.  5. Foster ongoing dialogue between families and educators.</w:t>
            </w:r>
          </w:p>
        </w:tc>
        <w:tc>
          <w:tcPr>
            <w:tcW w:w="3402" w:type="dxa"/>
          </w:tcPr>
          <w:p w14:paraId="66AA8317" w14:textId="77777777" w:rsidR="00A36904" w:rsidRDefault="00A36904" w:rsidP="00A36904">
            <w:pPr>
              <w:rPr>
                <w:i/>
              </w:rPr>
            </w:pPr>
            <w:r>
              <w:rPr>
                <w:i/>
              </w:rPr>
              <w:lastRenderedPageBreak/>
              <w:t xml:space="preserve">Family input is sought and used to support children’s secure relationships with educators and promote their continuity. For example, we seek </w:t>
            </w:r>
          </w:p>
          <w:p w14:paraId="4BC6729F" w14:textId="3673F1BB" w:rsidR="00A93BCD" w:rsidRPr="0051497C" w:rsidRDefault="00A36904" w:rsidP="00BE69A9">
            <w:pPr>
              <w:numPr>
                <w:ilvl w:val="0"/>
                <w:numId w:val="46"/>
              </w:numPr>
              <w:pBdr>
                <w:top w:val="nil"/>
                <w:left w:val="nil"/>
                <w:bottom w:val="nil"/>
                <w:right w:val="nil"/>
                <w:between w:val="nil"/>
              </w:pBdr>
              <w:spacing w:after="0" w:line="259" w:lineRule="auto"/>
              <w:ind w:left="318"/>
              <w:rPr>
                <w:color w:val="FF0000"/>
              </w:rPr>
            </w:pPr>
            <w:r>
              <w:rPr>
                <w:color w:val="FF0000"/>
              </w:rPr>
              <w:t xml:space="preserve">family input about a child’s behaviour at home, diagnosed/undiagnosed conditions, and their interests and strengths, to support </w:t>
            </w:r>
            <w:r>
              <w:rPr>
                <w:color w:val="FF0000"/>
              </w:rPr>
              <w:lastRenderedPageBreak/>
              <w:t>behaviour, communication needs/preferences, and out-of-service activities.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635F543E"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194513">
        <w:rPr>
          <w:rFonts w:ascii="HelveticaNeue-Thin" w:hAnsi="HelveticaNeue-Thin" w:cs="HelveticaNeue-Thin"/>
          <w:b/>
          <w:bCs/>
          <w:color w:val="010202"/>
        </w:rPr>
        <w:t>4</w:t>
      </w:r>
      <w:r w:rsidR="004144DC">
        <w:rPr>
          <w:rFonts w:ascii="HelveticaNeue-Thin" w:hAnsi="HelveticaNeue-Thin" w:cs="HelveticaNeue-Thin"/>
          <w:b/>
          <w:bCs/>
          <w:color w:val="010202"/>
        </w:rPr>
        <w:t>.</w:t>
      </w:r>
      <w:r w:rsidR="0026071E">
        <w:rPr>
          <w:rFonts w:ascii="HelveticaNeue-Thin" w:hAnsi="HelveticaNeue-Thin" w:cs="HelveticaNeue-Thin"/>
          <w:b/>
          <w:bCs/>
          <w:color w:val="010202"/>
        </w:rPr>
        <w:t>1</w:t>
      </w:r>
      <w:r w:rsidR="009D0F8E">
        <w:rPr>
          <w:rFonts w:ascii="HelveticaNeue-Thin" w:hAnsi="HelveticaNeue-Thin" w:cs="HelveticaNeue-Thin"/>
          <w:b/>
          <w:bCs/>
          <w:color w:val="010202"/>
        </w:rPr>
        <w:t xml:space="preserve"> Staffing Arrangements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570469E" w:rsidR="00B0081A" w:rsidRDefault="008D4EE1" w:rsidP="00B0081A">
            <w:pPr>
              <w:spacing w:after="0"/>
              <w:jc w:val="both"/>
              <w:rPr>
                <w:rFonts w:cs="Arial"/>
              </w:rPr>
            </w:pPr>
            <w:r w:rsidRPr="00B0081A">
              <w:rPr>
                <w:rFonts w:cs="Arial"/>
              </w:rPr>
              <w:t xml:space="preserve">In the strength example for element </w:t>
            </w:r>
            <w:r w:rsidR="00F67385">
              <w:rPr>
                <w:rFonts w:cs="Arial"/>
              </w:rPr>
              <w:t>4.</w:t>
            </w:r>
            <w:r w:rsidR="0026071E">
              <w:rPr>
                <w:rFonts w:cs="Arial"/>
              </w:rPr>
              <w:t>1.</w:t>
            </w:r>
            <w:r w:rsidR="00A56424">
              <w:rPr>
                <w:rFonts w:cs="Arial"/>
              </w:rPr>
              <w:t>2</w:t>
            </w:r>
            <w:r w:rsidR="00862DE6">
              <w:rPr>
                <w:rFonts w:cs="Arial"/>
              </w:rPr>
              <w:t xml:space="preserve"> </w:t>
            </w:r>
            <w:r w:rsidRPr="00B0081A">
              <w:rPr>
                <w:rFonts w:cs="Arial"/>
              </w:rPr>
              <w:t>we have identified the following exceeding theme indicators:</w:t>
            </w:r>
          </w:p>
          <w:p w14:paraId="4E7DC49D" w14:textId="1B2EA3EC" w:rsidR="008D4EE1" w:rsidRPr="00E20089" w:rsidRDefault="00BE69A9" w:rsidP="00BA0424">
            <w:pPr>
              <w:numPr>
                <w:ilvl w:val="0"/>
                <w:numId w:val="1"/>
              </w:numPr>
              <w:rPr>
                <w:rFonts w:cs="Arial"/>
                <w:iCs/>
              </w:rPr>
            </w:pPr>
            <w:r>
              <w:rPr>
                <w:i/>
              </w:rPr>
              <w:t>Continuity of educators enhances children’s wellbeing, learning, and development.</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4FA9F6C0" w:rsidR="00A16148" w:rsidRDefault="008D4EE1" w:rsidP="002D52F5">
            <w:pPr>
              <w:spacing w:after="0"/>
            </w:pPr>
            <w:r w:rsidRPr="00B0081A">
              <w:t xml:space="preserve">In the strength example for element </w:t>
            </w:r>
            <w:r w:rsidR="003B5235">
              <w:rPr>
                <w:rFonts w:cs="Arial"/>
              </w:rPr>
              <w:t>4.</w:t>
            </w:r>
            <w:r w:rsidR="0026071E">
              <w:rPr>
                <w:rFonts w:cs="Arial"/>
              </w:rPr>
              <w:t>1.</w:t>
            </w:r>
            <w:r w:rsidR="00A56424">
              <w:rPr>
                <w:rFonts w:cs="Arial"/>
              </w:rPr>
              <w:t>2</w:t>
            </w:r>
            <w:r w:rsidRPr="00B0081A">
              <w:t xml:space="preserve"> we have identified the following exceeding theme indicators:</w:t>
            </w:r>
            <w:r w:rsidR="00A16148" w:rsidRPr="00B0081A">
              <w:t xml:space="preserve"> </w:t>
            </w:r>
          </w:p>
          <w:p w14:paraId="79641D8F" w14:textId="2078FFC7" w:rsidR="00B0081A" w:rsidRPr="00E20089" w:rsidRDefault="005A0071" w:rsidP="00405E26">
            <w:pPr>
              <w:numPr>
                <w:ilvl w:val="0"/>
                <w:numId w:val="1"/>
              </w:numPr>
              <w:spacing w:after="0"/>
              <w:rPr>
                <w:iCs/>
              </w:rPr>
            </w:pPr>
            <w:r>
              <w:rPr>
                <w:i/>
              </w:rPr>
              <w:t>Team reflections, including those that consider negative continuity outcomes in the past, improve continuity of educators.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1AD549CD" w:rsidR="00317C21" w:rsidRDefault="008D4EE1" w:rsidP="00B0081A">
            <w:pPr>
              <w:spacing w:after="0"/>
            </w:pPr>
            <w:r w:rsidRPr="00B0081A">
              <w:t xml:space="preserve">In the strength example for element </w:t>
            </w:r>
            <w:r w:rsidR="003B5235">
              <w:rPr>
                <w:rFonts w:cs="Arial"/>
              </w:rPr>
              <w:t>4.</w:t>
            </w:r>
            <w:r w:rsidR="0026071E">
              <w:rPr>
                <w:rFonts w:cs="Arial"/>
              </w:rPr>
              <w:t>1.</w:t>
            </w:r>
            <w:r w:rsidR="00A56424">
              <w:rPr>
                <w:rFonts w:cs="Arial"/>
              </w:rPr>
              <w:t>2</w:t>
            </w:r>
            <w:r w:rsidRPr="00B0081A">
              <w:t xml:space="preserve"> we have identified the following exceeding theme indicators:</w:t>
            </w:r>
          </w:p>
          <w:p w14:paraId="6FF3C3FB" w14:textId="605EEC5D" w:rsidR="00B0081A" w:rsidRPr="006726C0" w:rsidRDefault="00123E7F" w:rsidP="007E14DC">
            <w:pPr>
              <w:numPr>
                <w:ilvl w:val="0"/>
                <w:numId w:val="32"/>
              </w:numPr>
              <w:rPr>
                <w:iCs/>
              </w:rPr>
            </w:pPr>
            <w:r>
              <w:rPr>
                <w:i/>
              </w:rPr>
              <w:t>Family input is sought and used to support children’s secure relationships with educators and promote their continuity.</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F70D8"/>
    <w:multiLevelType w:val="multilevel"/>
    <w:tmpl w:val="E2601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5657E0"/>
    <w:multiLevelType w:val="multilevel"/>
    <w:tmpl w:val="E398D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4A6BF7"/>
    <w:multiLevelType w:val="multilevel"/>
    <w:tmpl w:val="746AA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C9559D8"/>
    <w:multiLevelType w:val="multilevel"/>
    <w:tmpl w:val="134A7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4"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2962679"/>
    <w:multiLevelType w:val="hybridMultilevel"/>
    <w:tmpl w:val="7160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8C324D2"/>
    <w:multiLevelType w:val="multilevel"/>
    <w:tmpl w:val="995E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0"/>
  </w:num>
  <w:num w:numId="2" w16cid:durableId="2047951240">
    <w:abstractNumId w:val="35"/>
  </w:num>
  <w:num w:numId="3" w16cid:durableId="677923796">
    <w:abstractNumId w:val="27"/>
  </w:num>
  <w:num w:numId="4" w16cid:durableId="764031647">
    <w:abstractNumId w:val="33"/>
  </w:num>
  <w:num w:numId="5" w16cid:durableId="941841055">
    <w:abstractNumId w:val="40"/>
  </w:num>
  <w:num w:numId="6" w16cid:durableId="1583756430">
    <w:abstractNumId w:val="19"/>
  </w:num>
  <w:num w:numId="7" w16cid:durableId="1628855747">
    <w:abstractNumId w:val="16"/>
  </w:num>
  <w:num w:numId="8" w16cid:durableId="1581257911">
    <w:abstractNumId w:val="1"/>
  </w:num>
  <w:num w:numId="9" w16cid:durableId="1779835487">
    <w:abstractNumId w:val="3"/>
  </w:num>
  <w:num w:numId="10" w16cid:durableId="920917211">
    <w:abstractNumId w:val="12"/>
  </w:num>
  <w:num w:numId="11" w16cid:durableId="1668485436">
    <w:abstractNumId w:val="31"/>
  </w:num>
  <w:num w:numId="12" w16cid:durableId="181669609">
    <w:abstractNumId w:val="32"/>
  </w:num>
  <w:num w:numId="13" w16cid:durableId="1749885825">
    <w:abstractNumId w:val="39"/>
  </w:num>
  <w:num w:numId="14" w16cid:durableId="276302035">
    <w:abstractNumId w:val="44"/>
  </w:num>
  <w:num w:numId="15" w16cid:durableId="818883266">
    <w:abstractNumId w:val="25"/>
  </w:num>
  <w:num w:numId="16" w16cid:durableId="1715689987">
    <w:abstractNumId w:val="41"/>
  </w:num>
  <w:num w:numId="17" w16cid:durableId="836337608">
    <w:abstractNumId w:val="5"/>
  </w:num>
  <w:num w:numId="18" w16cid:durableId="2104764159">
    <w:abstractNumId w:val="9"/>
  </w:num>
  <w:num w:numId="19" w16cid:durableId="876548312">
    <w:abstractNumId w:val="37"/>
  </w:num>
  <w:num w:numId="20" w16cid:durableId="1603605334">
    <w:abstractNumId w:val="17"/>
  </w:num>
  <w:num w:numId="21" w16cid:durableId="713507571">
    <w:abstractNumId w:val="8"/>
  </w:num>
  <w:num w:numId="22" w16cid:durableId="650211910">
    <w:abstractNumId w:val="26"/>
  </w:num>
  <w:num w:numId="23" w16cid:durableId="1958945801">
    <w:abstractNumId w:val="43"/>
  </w:num>
  <w:num w:numId="24" w16cid:durableId="528756863">
    <w:abstractNumId w:val="7"/>
  </w:num>
  <w:num w:numId="25" w16cid:durableId="455609949">
    <w:abstractNumId w:val="13"/>
  </w:num>
  <w:num w:numId="26" w16cid:durableId="1865484709">
    <w:abstractNumId w:val="15"/>
  </w:num>
  <w:num w:numId="27" w16cid:durableId="537427685">
    <w:abstractNumId w:val="0"/>
  </w:num>
  <w:num w:numId="28" w16cid:durableId="423494888">
    <w:abstractNumId w:val="34"/>
  </w:num>
  <w:num w:numId="29" w16cid:durableId="1675764481">
    <w:abstractNumId w:val="14"/>
  </w:num>
  <w:num w:numId="30" w16cid:durableId="64569135">
    <w:abstractNumId w:val="4"/>
  </w:num>
  <w:num w:numId="31" w16cid:durableId="475535588">
    <w:abstractNumId w:val="38"/>
  </w:num>
  <w:num w:numId="32" w16cid:durableId="782191672">
    <w:abstractNumId w:val="29"/>
  </w:num>
  <w:num w:numId="33" w16cid:durableId="1510679432">
    <w:abstractNumId w:val="24"/>
  </w:num>
  <w:num w:numId="34" w16cid:durableId="1912235038">
    <w:abstractNumId w:val="28"/>
  </w:num>
  <w:num w:numId="35" w16cid:durableId="1226380040">
    <w:abstractNumId w:val="23"/>
  </w:num>
  <w:num w:numId="36" w16cid:durableId="1085570105">
    <w:abstractNumId w:val="20"/>
  </w:num>
  <w:num w:numId="37" w16cid:durableId="151798293">
    <w:abstractNumId w:val="10"/>
  </w:num>
  <w:num w:numId="38" w16cid:durableId="415634888">
    <w:abstractNumId w:val="21"/>
  </w:num>
  <w:num w:numId="39" w16cid:durableId="762577756">
    <w:abstractNumId w:val="18"/>
  </w:num>
  <w:num w:numId="40" w16cid:durableId="1225987413">
    <w:abstractNumId w:val="36"/>
  </w:num>
  <w:num w:numId="41" w16cid:durableId="1118329054">
    <w:abstractNumId w:val="45"/>
  </w:num>
  <w:num w:numId="42" w16cid:durableId="1904020558">
    <w:abstractNumId w:val="11"/>
  </w:num>
  <w:num w:numId="43" w16cid:durableId="1885940768">
    <w:abstractNumId w:val="22"/>
  </w:num>
  <w:num w:numId="44" w16cid:durableId="1133406928">
    <w:abstractNumId w:val="2"/>
  </w:num>
  <w:num w:numId="45" w16cid:durableId="1869025842">
    <w:abstractNumId w:val="6"/>
  </w:num>
  <w:num w:numId="46" w16cid:durableId="1214194916">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5665"/>
    <w:rsid w:val="00026CB6"/>
    <w:rsid w:val="0003105E"/>
    <w:rsid w:val="00031283"/>
    <w:rsid w:val="0003165A"/>
    <w:rsid w:val="000339A3"/>
    <w:rsid w:val="00035EBC"/>
    <w:rsid w:val="00037A60"/>
    <w:rsid w:val="000407CF"/>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160F"/>
    <w:rsid w:val="00112C30"/>
    <w:rsid w:val="00112E42"/>
    <w:rsid w:val="001164FA"/>
    <w:rsid w:val="001217DD"/>
    <w:rsid w:val="00121F13"/>
    <w:rsid w:val="00123DCB"/>
    <w:rsid w:val="00123E7F"/>
    <w:rsid w:val="00124E4E"/>
    <w:rsid w:val="001251A9"/>
    <w:rsid w:val="001271F8"/>
    <w:rsid w:val="001324D5"/>
    <w:rsid w:val="00133413"/>
    <w:rsid w:val="00141A01"/>
    <w:rsid w:val="00151BDD"/>
    <w:rsid w:val="00153049"/>
    <w:rsid w:val="00154B17"/>
    <w:rsid w:val="00157AAF"/>
    <w:rsid w:val="00167F2F"/>
    <w:rsid w:val="00170A86"/>
    <w:rsid w:val="001726A6"/>
    <w:rsid w:val="00172A26"/>
    <w:rsid w:val="0017442A"/>
    <w:rsid w:val="00174938"/>
    <w:rsid w:val="00175F6E"/>
    <w:rsid w:val="00181B3D"/>
    <w:rsid w:val="001835DA"/>
    <w:rsid w:val="00183D3F"/>
    <w:rsid w:val="0019424B"/>
    <w:rsid w:val="00194513"/>
    <w:rsid w:val="00196264"/>
    <w:rsid w:val="00197FA5"/>
    <w:rsid w:val="001A45AA"/>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4010"/>
    <w:rsid w:val="0025451E"/>
    <w:rsid w:val="0026071E"/>
    <w:rsid w:val="002620A9"/>
    <w:rsid w:val="00262138"/>
    <w:rsid w:val="00263552"/>
    <w:rsid w:val="002644B4"/>
    <w:rsid w:val="00265AD9"/>
    <w:rsid w:val="00265E26"/>
    <w:rsid w:val="00271A85"/>
    <w:rsid w:val="002750B9"/>
    <w:rsid w:val="002759DC"/>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E0BB0"/>
    <w:rsid w:val="002E0DE0"/>
    <w:rsid w:val="002E1D13"/>
    <w:rsid w:val="002F13B7"/>
    <w:rsid w:val="002F3B5C"/>
    <w:rsid w:val="002F63CF"/>
    <w:rsid w:val="00300E2B"/>
    <w:rsid w:val="00305799"/>
    <w:rsid w:val="003075EE"/>
    <w:rsid w:val="003135F4"/>
    <w:rsid w:val="0031630F"/>
    <w:rsid w:val="00317C21"/>
    <w:rsid w:val="003213A8"/>
    <w:rsid w:val="003216A2"/>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04D2"/>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6188"/>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3D47"/>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5EAB"/>
    <w:rsid w:val="005075A5"/>
    <w:rsid w:val="0051497C"/>
    <w:rsid w:val="00516B27"/>
    <w:rsid w:val="005221D1"/>
    <w:rsid w:val="005241E0"/>
    <w:rsid w:val="00525761"/>
    <w:rsid w:val="0052684B"/>
    <w:rsid w:val="00533F98"/>
    <w:rsid w:val="0053583E"/>
    <w:rsid w:val="00535AA7"/>
    <w:rsid w:val="0054089A"/>
    <w:rsid w:val="00543B96"/>
    <w:rsid w:val="00543E90"/>
    <w:rsid w:val="0055403C"/>
    <w:rsid w:val="00555503"/>
    <w:rsid w:val="0055583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0071"/>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C0"/>
    <w:rsid w:val="006726FC"/>
    <w:rsid w:val="00673A0C"/>
    <w:rsid w:val="00675968"/>
    <w:rsid w:val="00680B99"/>
    <w:rsid w:val="00680BB2"/>
    <w:rsid w:val="00682AC5"/>
    <w:rsid w:val="00682BFD"/>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09DB"/>
    <w:rsid w:val="006D39AB"/>
    <w:rsid w:val="006E039B"/>
    <w:rsid w:val="006E20AC"/>
    <w:rsid w:val="006E3153"/>
    <w:rsid w:val="006E431E"/>
    <w:rsid w:val="006E6F78"/>
    <w:rsid w:val="006F3FD1"/>
    <w:rsid w:val="006F4E86"/>
    <w:rsid w:val="0070014D"/>
    <w:rsid w:val="00703AA3"/>
    <w:rsid w:val="00704AE3"/>
    <w:rsid w:val="007055E1"/>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8052F"/>
    <w:rsid w:val="0078227D"/>
    <w:rsid w:val="007834AC"/>
    <w:rsid w:val="00785715"/>
    <w:rsid w:val="00785EF1"/>
    <w:rsid w:val="00786889"/>
    <w:rsid w:val="00786B20"/>
    <w:rsid w:val="00786BB5"/>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12C2"/>
    <w:rsid w:val="007F1401"/>
    <w:rsid w:val="007F216B"/>
    <w:rsid w:val="00801082"/>
    <w:rsid w:val="00802552"/>
    <w:rsid w:val="00805B51"/>
    <w:rsid w:val="00810A25"/>
    <w:rsid w:val="00812139"/>
    <w:rsid w:val="008135CE"/>
    <w:rsid w:val="00813870"/>
    <w:rsid w:val="00814A74"/>
    <w:rsid w:val="00814B93"/>
    <w:rsid w:val="008162E4"/>
    <w:rsid w:val="00821FE5"/>
    <w:rsid w:val="008221C9"/>
    <w:rsid w:val="00825382"/>
    <w:rsid w:val="008258F0"/>
    <w:rsid w:val="00826FA6"/>
    <w:rsid w:val="00827D1F"/>
    <w:rsid w:val="00831266"/>
    <w:rsid w:val="00832EEC"/>
    <w:rsid w:val="00833D2B"/>
    <w:rsid w:val="00836869"/>
    <w:rsid w:val="008400CB"/>
    <w:rsid w:val="00841175"/>
    <w:rsid w:val="0084209F"/>
    <w:rsid w:val="0084420F"/>
    <w:rsid w:val="0085247F"/>
    <w:rsid w:val="00853945"/>
    <w:rsid w:val="00854ADB"/>
    <w:rsid w:val="00854D8A"/>
    <w:rsid w:val="00855049"/>
    <w:rsid w:val="00855926"/>
    <w:rsid w:val="00860572"/>
    <w:rsid w:val="0086083D"/>
    <w:rsid w:val="00861A2A"/>
    <w:rsid w:val="00861F0C"/>
    <w:rsid w:val="008629B9"/>
    <w:rsid w:val="00862DE6"/>
    <w:rsid w:val="0086552F"/>
    <w:rsid w:val="00866DF8"/>
    <w:rsid w:val="00866E15"/>
    <w:rsid w:val="008733AF"/>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8F7DE3"/>
    <w:rsid w:val="00900B3F"/>
    <w:rsid w:val="00900DEE"/>
    <w:rsid w:val="00901206"/>
    <w:rsid w:val="009017CC"/>
    <w:rsid w:val="00902F29"/>
    <w:rsid w:val="0090377D"/>
    <w:rsid w:val="009038A0"/>
    <w:rsid w:val="00904450"/>
    <w:rsid w:val="00911663"/>
    <w:rsid w:val="009139AF"/>
    <w:rsid w:val="00913CE6"/>
    <w:rsid w:val="009149D3"/>
    <w:rsid w:val="00914F9D"/>
    <w:rsid w:val="00917C3E"/>
    <w:rsid w:val="009255B0"/>
    <w:rsid w:val="009306A2"/>
    <w:rsid w:val="00931767"/>
    <w:rsid w:val="00934C30"/>
    <w:rsid w:val="00935E5E"/>
    <w:rsid w:val="00937DAA"/>
    <w:rsid w:val="0094384C"/>
    <w:rsid w:val="00946361"/>
    <w:rsid w:val="0095059F"/>
    <w:rsid w:val="00950A4B"/>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4D5"/>
    <w:rsid w:val="00993651"/>
    <w:rsid w:val="00993BDE"/>
    <w:rsid w:val="009A05E5"/>
    <w:rsid w:val="009A1A41"/>
    <w:rsid w:val="009A32B5"/>
    <w:rsid w:val="009A460D"/>
    <w:rsid w:val="009A4869"/>
    <w:rsid w:val="009A5DBF"/>
    <w:rsid w:val="009B0B22"/>
    <w:rsid w:val="009B4161"/>
    <w:rsid w:val="009B5B52"/>
    <w:rsid w:val="009B5D08"/>
    <w:rsid w:val="009C1149"/>
    <w:rsid w:val="009C16D7"/>
    <w:rsid w:val="009C7131"/>
    <w:rsid w:val="009D0F8E"/>
    <w:rsid w:val="009D1CB0"/>
    <w:rsid w:val="009D4AAF"/>
    <w:rsid w:val="009D6827"/>
    <w:rsid w:val="009D7610"/>
    <w:rsid w:val="009D76E7"/>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36904"/>
    <w:rsid w:val="00A44CF8"/>
    <w:rsid w:val="00A459FF"/>
    <w:rsid w:val="00A46767"/>
    <w:rsid w:val="00A473BC"/>
    <w:rsid w:val="00A5063A"/>
    <w:rsid w:val="00A52014"/>
    <w:rsid w:val="00A52B1A"/>
    <w:rsid w:val="00A543C3"/>
    <w:rsid w:val="00A543E4"/>
    <w:rsid w:val="00A56424"/>
    <w:rsid w:val="00A57645"/>
    <w:rsid w:val="00A64C08"/>
    <w:rsid w:val="00A723A6"/>
    <w:rsid w:val="00A74930"/>
    <w:rsid w:val="00A749BE"/>
    <w:rsid w:val="00A75237"/>
    <w:rsid w:val="00A77060"/>
    <w:rsid w:val="00A77809"/>
    <w:rsid w:val="00A8041D"/>
    <w:rsid w:val="00A80F61"/>
    <w:rsid w:val="00A85FA0"/>
    <w:rsid w:val="00A87C83"/>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07C08"/>
    <w:rsid w:val="00B120A0"/>
    <w:rsid w:val="00B1342E"/>
    <w:rsid w:val="00B148BD"/>
    <w:rsid w:val="00B175DB"/>
    <w:rsid w:val="00B25C52"/>
    <w:rsid w:val="00B27225"/>
    <w:rsid w:val="00B32C03"/>
    <w:rsid w:val="00B33BD6"/>
    <w:rsid w:val="00B346E4"/>
    <w:rsid w:val="00B347E5"/>
    <w:rsid w:val="00B34F39"/>
    <w:rsid w:val="00B359A8"/>
    <w:rsid w:val="00B40586"/>
    <w:rsid w:val="00B42004"/>
    <w:rsid w:val="00B43418"/>
    <w:rsid w:val="00B43553"/>
    <w:rsid w:val="00B4540E"/>
    <w:rsid w:val="00B463E3"/>
    <w:rsid w:val="00B46BDE"/>
    <w:rsid w:val="00B471F8"/>
    <w:rsid w:val="00B47C1D"/>
    <w:rsid w:val="00B505AB"/>
    <w:rsid w:val="00B5391E"/>
    <w:rsid w:val="00B540C9"/>
    <w:rsid w:val="00B57E7F"/>
    <w:rsid w:val="00B63C01"/>
    <w:rsid w:val="00B640D6"/>
    <w:rsid w:val="00B7442D"/>
    <w:rsid w:val="00B75504"/>
    <w:rsid w:val="00B75C8F"/>
    <w:rsid w:val="00B80598"/>
    <w:rsid w:val="00B821CC"/>
    <w:rsid w:val="00B86A49"/>
    <w:rsid w:val="00B87EA3"/>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9A9"/>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10E4"/>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D2C"/>
    <w:rsid w:val="00C773CF"/>
    <w:rsid w:val="00C8413D"/>
    <w:rsid w:val="00C84374"/>
    <w:rsid w:val="00C849DD"/>
    <w:rsid w:val="00C8709F"/>
    <w:rsid w:val="00C872C1"/>
    <w:rsid w:val="00C94DF1"/>
    <w:rsid w:val="00C9694E"/>
    <w:rsid w:val="00CA0721"/>
    <w:rsid w:val="00CA2C1F"/>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77C"/>
    <w:rsid w:val="00CF74C0"/>
    <w:rsid w:val="00D015DC"/>
    <w:rsid w:val="00D01A73"/>
    <w:rsid w:val="00D01C9F"/>
    <w:rsid w:val="00D01CF9"/>
    <w:rsid w:val="00D04421"/>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27D94"/>
    <w:rsid w:val="00E35359"/>
    <w:rsid w:val="00E35C2D"/>
    <w:rsid w:val="00E36479"/>
    <w:rsid w:val="00E36D48"/>
    <w:rsid w:val="00E377DD"/>
    <w:rsid w:val="00E42632"/>
    <w:rsid w:val="00E4274D"/>
    <w:rsid w:val="00E4571D"/>
    <w:rsid w:val="00E5060A"/>
    <w:rsid w:val="00E55537"/>
    <w:rsid w:val="00E57888"/>
    <w:rsid w:val="00E57A01"/>
    <w:rsid w:val="00E63125"/>
    <w:rsid w:val="00E7045F"/>
    <w:rsid w:val="00E73ED8"/>
    <w:rsid w:val="00E77664"/>
    <w:rsid w:val="00E825CF"/>
    <w:rsid w:val="00E85CD3"/>
    <w:rsid w:val="00E864AB"/>
    <w:rsid w:val="00E94017"/>
    <w:rsid w:val="00E944A5"/>
    <w:rsid w:val="00E96BD9"/>
    <w:rsid w:val="00E96F57"/>
    <w:rsid w:val="00EA11C0"/>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1CD3"/>
    <w:rsid w:val="00EF24BE"/>
    <w:rsid w:val="00EF2E9F"/>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209"/>
    <w:rsid w:val="00F40751"/>
    <w:rsid w:val="00F41E89"/>
    <w:rsid w:val="00F42DC3"/>
    <w:rsid w:val="00F455A7"/>
    <w:rsid w:val="00F47E92"/>
    <w:rsid w:val="00F52656"/>
    <w:rsid w:val="00F52D61"/>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5AD5"/>
    <w:rsid w:val="00FA5DB1"/>
    <w:rsid w:val="00FA6F8F"/>
    <w:rsid w:val="00FB0097"/>
    <w:rsid w:val="00FB0C7D"/>
    <w:rsid w:val="00FB1FDB"/>
    <w:rsid w:val="00FB5889"/>
    <w:rsid w:val="00FB5BF7"/>
    <w:rsid w:val="00FC2A9A"/>
    <w:rsid w:val="00FC2C06"/>
    <w:rsid w:val="00FC39DC"/>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77751265">
      <w:bodyDiv w:val="1"/>
      <w:marLeft w:val="0"/>
      <w:marRight w:val="0"/>
      <w:marTop w:val="0"/>
      <w:marBottom w:val="0"/>
      <w:divBdr>
        <w:top w:val="none" w:sz="0" w:space="0" w:color="auto"/>
        <w:left w:val="none" w:sz="0" w:space="0" w:color="auto"/>
        <w:bottom w:val="none" w:sz="0" w:space="0" w:color="auto"/>
        <w:right w:val="none" w:sz="0" w:space="0" w:color="auto"/>
      </w:divBdr>
    </w:div>
    <w:div w:id="14142845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2538728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15990874">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20293329">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D6B73-6684-4773-B18C-1B0D1389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294</cp:revision>
  <dcterms:created xsi:type="dcterms:W3CDTF">2023-03-23T23:03:00Z</dcterms:created>
  <dcterms:modified xsi:type="dcterms:W3CDTF">2024-11-14T22:41:00Z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